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1F4" w:rsidRDefault="00AE6C02" w:rsidP="00584E4F">
      <w:pPr>
        <w:spacing w:after="0" w:line="240" w:lineRule="auto"/>
        <w:jc w:val="center"/>
        <w:rPr>
          <w:rFonts w:cs="Times New Roman"/>
          <w:b/>
          <w:sz w:val="32"/>
          <w:szCs w:val="20"/>
        </w:rPr>
      </w:pPr>
      <w:r w:rsidRPr="009B60EF">
        <w:rPr>
          <w:rFonts w:cs="Times New Roman"/>
          <w:b/>
          <w:bCs/>
          <w:sz w:val="32"/>
          <w:szCs w:val="20"/>
        </w:rPr>
        <w:t xml:space="preserve">Paper Title </w:t>
      </w:r>
      <w:r w:rsidRPr="009B60EF">
        <w:rPr>
          <w:rFonts w:cs="Times New Roman"/>
          <w:b/>
          <w:bCs/>
          <w:color w:val="FF0000"/>
          <w:sz w:val="32"/>
          <w:szCs w:val="20"/>
        </w:rPr>
        <w:t>(16 Bold)</w:t>
      </w:r>
    </w:p>
    <w:p w:rsidR="005F7A2E" w:rsidRPr="005F7A2E" w:rsidRDefault="005F7A2E" w:rsidP="00584E4F">
      <w:pPr>
        <w:spacing w:after="0" w:line="240" w:lineRule="auto"/>
        <w:jc w:val="center"/>
        <w:rPr>
          <w:rFonts w:cs="Times New Roman"/>
          <w:b/>
          <w:sz w:val="20"/>
          <w:szCs w:val="20"/>
        </w:rPr>
      </w:pPr>
    </w:p>
    <w:p w:rsidR="008A11F4" w:rsidRPr="005F7A2E" w:rsidRDefault="00C70408" w:rsidP="005F7A2E">
      <w:pPr>
        <w:spacing w:after="0" w:line="240" w:lineRule="auto"/>
        <w:jc w:val="center"/>
        <w:rPr>
          <w:rFonts w:cs="Times New Roman"/>
          <w:sz w:val="28"/>
          <w:szCs w:val="20"/>
        </w:rPr>
      </w:pPr>
      <w:r w:rsidRPr="009B60EF">
        <w:rPr>
          <w:rFonts w:cs="Times New Roman"/>
          <w:bCs/>
          <w:sz w:val="28"/>
          <w:szCs w:val="20"/>
        </w:rPr>
        <w:t xml:space="preserve">Author </w:t>
      </w:r>
      <w:r w:rsidRPr="009B60EF">
        <w:rPr>
          <w:rFonts w:cs="Times New Roman"/>
          <w:bCs/>
          <w:color w:val="FF0000"/>
          <w:sz w:val="28"/>
          <w:szCs w:val="20"/>
        </w:rPr>
        <w:t>(14)</w:t>
      </w:r>
    </w:p>
    <w:p w:rsidR="00365759" w:rsidRDefault="009D3314" w:rsidP="00365759">
      <w:pPr>
        <w:autoSpaceDE w:val="0"/>
        <w:autoSpaceDN w:val="0"/>
        <w:adjustRightInd w:val="0"/>
        <w:spacing w:after="0" w:line="240" w:lineRule="auto"/>
        <w:jc w:val="center"/>
        <w:rPr>
          <w:rFonts w:cs="Times New Roman"/>
          <w:i/>
          <w:color w:val="FF0000"/>
          <w:sz w:val="20"/>
          <w:szCs w:val="20"/>
        </w:rPr>
      </w:pPr>
      <w:r w:rsidRPr="00BE2E27">
        <w:rPr>
          <w:i/>
          <w:sz w:val="20"/>
          <w:szCs w:val="20"/>
        </w:rPr>
        <w:t>Corresponding Author:</w:t>
      </w:r>
      <w:r w:rsidRPr="00D57000">
        <w:t xml:space="preserve"> </w:t>
      </w:r>
      <w:r w:rsidR="00365759">
        <w:rPr>
          <w:i/>
          <w:sz w:val="20"/>
          <w:szCs w:val="20"/>
        </w:rPr>
        <w:t xml:space="preserve">xxxx </w:t>
      </w:r>
      <w:r w:rsidR="00365759" w:rsidRPr="00782EE7">
        <w:rPr>
          <w:rFonts w:cs="Times New Roman"/>
          <w:i/>
          <w:sz w:val="20"/>
          <w:szCs w:val="20"/>
        </w:rPr>
        <w:t>.</w:t>
      </w:r>
      <w:r w:rsidR="00365759" w:rsidRPr="002315E5">
        <w:rPr>
          <w:rFonts w:cs="Times New Roman"/>
          <w:i/>
          <w:color w:val="FF0000"/>
          <w:sz w:val="20"/>
          <w:szCs w:val="20"/>
        </w:rPr>
        <w:t>(10)</w:t>
      </w:r>
    </w:p>
    <w:p w:rsidR="00B0406A" w:rsidRPr="00B0406A" w:rsidRDefault="00B0406A" w:rsidP="00365759">
      <w:pPr>
        <w:autoSpaceDE w:val="0"/>
        <w:autoSpaceDN w:val="0"/>
        <w:adjustRightInd w:val="0"/>
        <w:spacing w:after="0" w:line="240" w:lineRule="auto"/>
        <w:jc w:val="center"/>
        <w:rPr>
          <w:rFonts w:cs="Times New Roman"/>
          <w:i/>
          <w:sz w:val="20"/>
          <w:szCs w:val="20"/>
        </w:rPr>
      </w:pPr>
      <w:r w:rsidRPr="00B0406A">
        <w:rPr>
          <w:rFonts w:cs="Times New Roman"/>
          <w:i/>
          <w:sz w:val="20"/>
          <w:szCs w:val="20"/>
        </w:rPr>
        <w:t>College / University Name with department</w:t>
      </w:r>
    </w:p>
    <w:p w:rsidR="009D3314" w:rsidRPr="00851813" w:rsidRDefault="009D3314" w:rsidP="009D3314">
      <w:pPr>
        <w:spacing w:after="0" w:line="240" w:lineRule="auto"/>
        <w:jc w:val="center"/>
        <w:rPr>
          <w:rFonts w:cs="Times New Roman"/>
          <w:sz w:val="20"/>
          <w:szCs w:val="20"/>
        </w:rPr>
      </w:pPr>
    </w:p>
    <w:p w:rsidR="008A11F4" w:rsidRPr="00D63EA3" w:rsidRDefault="00D63EA3" w:rsidP="00D63EA3">
      <w:pPr>
        <w:pBdr>
          <w:top w:val="single" w:sz="4" w:space="1" w:color="auto"/>
        </w:pBdr>
        <w:spacing w:after="0" w:line="240" w:lineRule="auto"/>
        <w:rPr>
          <w:rFonts w:cs="Times New Roman"/>
          <w:b/>
          <w:i/>
          <w:sz w:val="20"/>
          <w:szCs w:val="20"/>
        </w:rPr>
      </w:pPr>
      <w:r w:rsidRPr="00D63EA3">
        <w:rPr>
          <w:rFonts w:cs="Times New Roman"/>
          <w:b/>
          <w:i/>
          <w:sz w:val="20"/>
          <w:szCs w:val="20"/>
        </w:rPr>
        <w:t>ABSTRACT:</w:t>
      </w:r>
      <w:r w:rsidR="00365759" w:rsidRPr="00365759">
        <w:t xml:space="preserve"> </w:t>
      </w:r>
      <w:r w:rsidR="00365759" w:rsidRPr="00365759">
        <w:rPr>
          <w:rFonts w:cs="Times New Roman"/>
          <w:b/>
          <w:i/>
          <w:color w:val="FF0000"/>
          <w:sz w:val="20"/>
          <w:szCs w:val="20"/>
        </w:rPr>
        <w:t>(10 Bold)</w:t>
      </w:r>
      <w:r w:rsidRPr="00D63EA3">
        <w:rPr>
          <w:rFonts w:cs="Times New Roman"/>
          <w:i/>
          <w:sz w:val="20"/>
          <w:szCs w:val="20"/>
        </w:rPr>
        <w:t xml:space="preserve"> Malaysia</w:t>
      </w:r>
      <w:r w:rsidR="008A11F4" w:rsidRPr="00D63EA3">
        <w:rPr>
          <w:rFonts w:cs="Times New Roman"/>
          <w:i/>
          <w:sz w:val="20"/>
          <w:szCs w:val="20"/>
        </w:rPr>
        <w:t xml:space="preserve"> is one of the fastest growing developing economies of the Asian countries with a GDP per capita of $9766 and Human Development Index of 0.78 and has been classified as an emerging economy by the World Bank. One of the major roles played in the growth process is the inflow of FDI that has largely contributed to the capital formation and technology development of the country. Inspired by it contribution, the paper tries to identify the factors affecting the inflow of FDI in Malaysia and the effect of FDI on the export concentration ratio of Malaysia.</w:t>
      </w:r>
    </w:p>
    <w:p w:rsidR="008A11F4" w:rsidRPr="00D63EA3" w:rsidRDefault="008A11F4" w:rsidP="00DB6CFA">
      <w:pPr>
        <w:spacing w:after="0" w:line="240" w:lineRule="auto"/>
        <w:rPr>
          <w:rFonts w:cs="Times New Roman"/>
          <w:i/>
          <w:sz w:val="20"/>
          <w:szCs w:val="20"/>
        </w:rPr>
      </w:pPr>
      <w:r w:rsidRPr="00D63EA3">
        <w:rPr>
          <w:rFonts w:cs="Times New Roman"/>
          <w:i/>
          <w:sz w:val="20"/>
          <w:szCs w:val="20"/>
        </w:rPr>
        <w:t xml:space="preserve">The paper identifies the factors that affect directly or indirectly the inflow of FDI in Malaysia. By using Generalised Least Square Regression technique the paper found that  time spend  on governance has played a crucial role in attracting FDI in Malaysia. Further, the inflow of FDI has contributed significantly in increasing the export concentration ratio of the country. </w:t>
      </w:r>
    </w:p>
    <w:p w:rsidR="008A11F4" w:rsidRPr="00851813" w:rsidRDefault="00D63EA3" w:rsidP="00DB6CFA">
      <w:pPr>
        <w:spacing w:after="0" w:line="240" w:lineRule="auto"/>
        <w:rPr>
          <w:rFonts w:cs="Times New Roman"/>
          <w:i/>
          <w:sz w:val="20"/>
          <w:szCs w:val="20"/>
        </w:rPr>
      </w:pPr>
      <w:r w:rsidRPr="00851813">
        <w:rPr>
          <w:rFonts w:cs="Times New Roman"/>
          <w:b/>
          <w:i/>
          <w:sz w:val="20"/>
          <w:szCs w:val="20"/>
        </w:rPr>
        <w:t>KEY WORD</w:t>
      </w:r>
      <w:r w:rsidRPr="00851813">
        <w:rPr>
          <w:rFonts w:cs="Times New Roman"/>
          <w:i/>
          <w:sz w:val="20"/>
          <w:szCs w:val="20"/>
        </w:rPr>
        <w:t xml:space="preserve">: </w:t>
      </w:r>
      <w:r w:rsidR="00365759" w:rsidRPr="00365759">
        <w:rPr>
          <w:rFonts w:cs="Times New Roman"/>
          <w:b/>
          <w:i/>
          <w:color w:val="FF0000"/>
          <w:sz w:val="20"/>
          <w:szCs w:val="20"/>
        </w:rPr>
        <w:t>(10 Bold)</w:t>
      </w:r>
      <w:r w:rsidR="00365759" w:rsidRPr="00D63EA3">
        <w:rPr>
          <w:rFonts w:cs="Times New Roman"/>
          <w:i/>
          <w:sz w:val="20"/>
          <w:szCs w:val="20"/>
        </w:rPr>
        <w:t xml:space="preserve"> </w:t>
      </w:r>
      <w:r w:rsidR="008A11F4" w:rsidRPr="00851813">
        <w:rPr>
          <w:rFonts w:cs="Times New Roman"/>
          <w:i/>
          <w:sz w:val="20"/>
          <w:szCs w:val="20"/>
        </w:rPr>
        <w:t>FDI, Malaysia, Growth, Export</w:t>
      </w:r>
    </w:p>
    <w:p w:rsidR="005140BA" w:rsidRPr="005140BA" w:rsidRDefault="005140BA" w:rsidP="005140BA">
      <w:pPr>
        <w:widowControl w:val="0"/>
        <w:autoSpaceDE w:val="0"/>
        <w:autoSpaceDN w:val="0"/>
        <w:adjustRightInd w:val="0"/>
        <w:snapToGrid w:val="0"/>
        <w:spacing w:after="0" w:line="240" w:lineRule="auto"/>
        <w:rPr>
          <w:rFonts w:eastAsia="Times New Roman" w:cs="Times New Roman"/>
          <w:b/>
          <w:kern w:val="2"/>
          <w:sz w:val="20"/>
          <w:szCs w:val="20"/>
          <w:lang w:val="en-US" w:eastAsia="zh-CN"/>
        </w:rPr>
      </w:pPr>
      <w:r w:rsidRPr="005140BA">
        <w:rPr>
          <w:rFonts w:eastAsia="Times New Roman" w:cs="Times New Roman"/>
          <w:b/>
          <w:kern w:val="2"/>
          <w:sz w:val="20"/>
          <w:szCs w:val="20"/>
          <w:lang w:val="en-US" w:eastAsia="zh-CN"/>
        </w:rPr>
        <w:t>---------------------------------------------------------------------------------------------------------------------------------------</w:t>
      </w:r>
    </w:p>
    <w:p w:rsidR="005140BA" w:rsidRPr="005140BA" w:rsidRDefault="005140BA" w:rsidP="005140BA">
      <w:pPr>
        <w:widowControl w:val="0"/>
        <w:autoSpaceDE w:val="0"/>
        <w:autoSpaceDN w:val="0"/>
        <w:adjustRightInd w:val="0"/>
        <w:snapToGrid w:val="0"/>
        <w:spacing w:after="0" w:line="240" w:lineRule="auto"/>
        <w:rPr>
          <w:rFonts w:eastAsia="Times New Roman" w:cs="Times New Roman"/>
          <w:kern w:val="2"/>
          <w:sz w:val="20"/>
          <w:szCs w:val="20"/>
          <w:lang w:val="en-US" w:eastAsia="zh-CN"/>
        </w:rPr>
      </w:pPr>
      <w:r w:rsidRPr="005140BA">
        <w:rPr>
          <w:rFonts w:eastAsia="Times New Roman" w:cs="Times New Roman"/>
          <w:kern w:val="2"/>
          <w:sz w:val="20"/>
          <w:szCs w:val="20"/>
          <w:lang w:val="en-US" w:eastAsia="zh-CN"/>
        </w:rPr>
        <w:t xml:space="preserve">Date of Submission: </w:t>
      </w:r>
      <w:r w:rsidR="006C69B8">
        <w:rPr>
          <w:rFonts w:eastAsia="Times New Roman" w:cs="Times New Roman"/>
          <w:kern w:val="2"/>
          <w:sz w:val="20"/>
          <w:szCs w:val="20"/>
          <w:lang w:val="en-US" w:eastAsia="zh-CN"/>
        </w:rPr>
        <w:t>xx-xx-xxxx</w:t>
      </w:r>
      <w:r w:rsidRPr="005140BA">
        <w:rPr>
          <w:rFonts w:eastAsia="Times New Roman" w:cs="Times New Roman"/>
          <w:kern w:val="2"/>
          <w:sz w:val="20"/>
          <w:szCs w:val="20"/>
          <w:lang w:val="en-US" w:eastAsia="zh-CN"/>
        </w:rPr>
        <w:t xml:space="preserve">                                             </w:t>
      </w:r>
      <w:r>
        <w:rPr>
          <w:rFonts w:eastAsia="Times New Roman" w:cs="Times New Roman"/>
          <w:kern w:val="2"/>
          <w:sz w:val="20"/>
          <w:szCs w:val="20"/>
          <w:lang w:val="en-US" w:eastAsia="zh-CN"/>
        </w:rPr>
        <w:t xml:space="preserve">                               </w:t>
      </w:r>
      <w:r w:rsidRPr="005140BA">
        <w:rPr>
          <w:rFonts w:eastAsia="Times New Roman" w:cs="Times New Roman"/>
          <w:kern w:val="2"/>
          <w:sz w:val="20"/>
          <w:szCs w:val="20"/>
          <w:lang w:val="en-US" w:eastAsia="zh-CN"/>
        </w:rPr>
        <w:t xml:space="preserve">Date of acceptance: </w:t>
      </w:r>
      <w:r w:rsidR="006C69B8">
        <w:rPr>
          <w:rFonts w:eastAsia="Times New Roman" w:cs="Times New Roman"/>
          <w:kern w:val="2"/>
          <w:sz w:val="20"/>
          <w:szCs w:val="20"/>
          <w:lang w:val="en-US" w:eastAsia="zh-CN"/>
        </w:rPr>
        <w:t>xx-xx-xxxx</w:t>
      </w:r>
    </w:p>
    <w:p w:rsidR="005140BA" w:rsidRPr="005140BA" w:rsidRDefault="005140BA" w:rsidP="005140BA">
      <w:pPr>
        <w:spacing w:after="0" w:line="240" w:lineRule="auto"/>
        <w:rPr>
          <w:rFonts w:eastAsia="Times New Roman" w:cs="Times New Roman"/>
          <w:sz w:val="20"/>
          <w:szCs w:val="20"/>
          <w:lang w:val="en-US"/>
        </w:rPr>
      </w:pPr>
      <w:r w:rsidRPr="005140BA">
        <w:rPr>
          <w:rFonts w:eastAsia="Times New Roman" w:cs="Times New Roman"/>
          <w:b/>
          <w:kern w:val="2"/>
          <w:sz w:val="20"/>
          <w:szCs w:val="20"/>
          <w:lang w:val="en-US" w:eastAsia="zh-CN"/>
        </w:rPr>
        <w:t>---------------------------------------------------------------------------------------------------------------------------------------</w:t>
      </w:r>
    </w:p>
    <w:p w:rsidR="009D3314" w:rsidRDefault="009D3314" w:rsidP="00DB6CFA">
      <w:pPr>
        <w:pStyle w:val="Heading1"/>
        <w:spacing w:before="0" w:line="240" w:lineRule="auto"/>
        <w:jc w:val="both"/>
        <w:rPr>
          <w:rFonts w:cs="Times New Roman"/>
          <w:sz w:val="20"/>
          <w:szCs w:val="20"/>
        </w:rPr>
      </w:pPr>
    </w:p>
    <w:p w:rsidR="008A11F4" w:rsidRPr="00851813" w:rsidRDefault="005140BA" w:rsidP="005140BA">
      <w:pPr>
        <w:pStyle w:val="Heading1"/>
        <w:numPr>
          <w:ilvl w:val="0"/>
          <w:numId w:val="4"/>
        </w:numPr>
        <w:spacing w:before="0" w:line="240" w:lineRule="auto"/>
        <w:ind w:left="360"/>
        <w:jc w:val="center"/>
        <w:rPr>
          <w:rFonts w:cs="Times New Roman"/>
          <w:sz w:val="20"/>
          <w:szCs w:val="20"/>
        </w:rPr>
      </w:pPr>
      <w:r w:rsidRPr="00851813">
        <w:rPr>
          <w:rFonts w:cs="Times New Roman"/>
          <w:sz w:val="20"/>
          <w:szCs w:val="20"/>
        </w:rPr>
        <w:t>INTRODUCTION AND LITERATURE REVIEW</w:t>
      </w:r>
      <w:r w:rsidR="00365759">
        <w:rPr>
          <w:rFonts w:cs="Times New Roman"/>
          <w:sz w:val="20"/>
          <w:szCs w:val="20"/>
        </w:rPr>
        <w:t xml:space="preserve"> </w:t>
      </w:r>
      <w:r w:rsidR="00365759" w:rsidRPr="00365759">
        <w:rPr>
          <w:rFonts w:cs="Times New Roman"/>
          <w:color w:val="FF0000"/>
          <w:sz w:val="20"/>
          <w:szCs w:val="20"/>
        </w:rPr>
        <w:t>(10 Bold)</w:t>
      </w:r>
    </w:p>
    <w:p w:rsidR="00E41328" w:rsidRPr="00851813" w:rsidRDefault="00E41328" w:rsidP="005140BA">
      <w:pPr>
        <w:spacing w:after="0" w:line="240" w:lineRule="auto"/>
        <w:ind w:firstLine="720"/>
        <w:rPr>
          <w:rFonts w:cs="Times New Roman"/>
          <w:sz w:val="20"/>
          <w:szCs w:val="20"/>
        </w:rPr>
      </w:pPr>
      <w:r w:rsidRPr="00851813">
        <w:rPr>
          <w:rFonts w:cs="Times New Roman"/>
          <w:sz w:val="20"/>
          <w:szCs w:val="20"/>
        </w:rPr>
        <w:t xml:space="preserve">Malaysia is one of the most fasted growing economies around the </w:t>
      </w:r>
      <w:r w:rsidR="00921AD2" w:rsidRPr="00851813">
        <w:rPr>
          <w:rFonts w:cs="Times New Roman"/>
          <w:sz w:val="20"/>
          <w:szCs w:val="20"/>
        </w:rPr>
        <w:t>world. T</w:t>
      </w:r>
      <w:r w:rsidRPr="00851813">
        <w:rPr>
          <w:rFonts w:cs="Times New Roman"/>
          <w:sz w:val="20"/>
          <w:szCs w:val="20"/>
        </w:rPr>
        <w:t>he most important factor that had played a crucial role in the development of the country is inflow of Foreign Direct Investment (FDI). It has helped the country with advancement of new technologies, innovations, development of managerial skills</w:t>
      </w:r>
      <w:r w:rsidR="00004993" w:rsidRPr="00851813">
        <w:rPr>
          <w:rFonts w:cs="Times New Roman"/>
          <w:sz w:val="20"/>
          <w:szCs w:val="20"/>
        </w:rPr>
        <w:t>,</w:t>
      </w:r>
      <w:r w:rsidRPr="00851813">
        <w:rPr>
          <w:rFonts w:cs="Times New Roman"/>
          <w:sz w:val="20"/>
          <w:szCs w:val="20"/>
        </w:rPr>
        <w:t xml:space="preserve"> creation of job and improvement in the working condition. An increasing trend of FDI </w:t>
      </w:r>
      <w:r w:rsidR="00921AD2" w:rsidRPr="00851813">
        <w:rPr>
          <w:rFonts w:cs="Times New Roman"/>
          <w:sz w:val="20"/>
          <w:szCs w:val="20"/>
        </w:rPr>
        <w:t>inflow is</w:t>
      </w:r>
      <w:r w:rsidRPr="00851813">
        <w:rPr>
          <w:rFonts w:cs="Times New Roman"/>
          <w:sz w:val="20"/>
          <w:szCs w:val="20"/>
        </w:rPr>
        <w:t xml:space="preserve"> also one of the clearest sign of globalization or openness of </w:t>
      </w:r>
      <w:r w:rsidR="00921AD2" w:rsidRPr="00851813">
        <w:rPr>
          <w:rFonts w:cs="Times New Roman"/>
          <w:sz w:val="20"/>
          <w:szCs w:val="20"/>
        </w:rPr>
        <w:t>the</w:t>
      </w:r>
      <w:r w:rsidRPr="00851813">
        <w:rPr>
          <w:rFonts w:cs="Times New Roman"/>
          <w:sz w:val="20"/>
          <w:szCs w:val="20"/>
        </w:rPr>
        <w:t xml:space="preserve"> country. International trade and FDI inflow together </w:t>
      </w:r>
      <w:r w:rsidR="00921AD2" w:rsidRPr="00851813">
        <w:rPr>
          <w:rFonts w:cs="Times New Roman"/>
          <w:sz w:val="20"/>
          <w:szCs w:val="20"/>
        </w:rPr>
        <w:t>has stimulated</w:t>
      </w:r>
      <w:r w:rsidRPr="00851813">
        <w:rPr>
          <w:rFonts w:cs="Times New Roman"/>
          <w:sz w:val="20"/>
          <w:szCs w:val="20"/>
        </w:rPr>
        <w:t xml:space="preserve"> the process of growth of </w:t>
      </w:r>
      <w:r w:rsidR="00921AD2" w:rsidRPr="00851813">
        <w:rPr>
          <w:rFonts w:cs="Times New Roman"/>
          <w:sz w:val="20"/>
          <w:szCs w:val="20"/>
        </w:rPr>
        <w:t>the</w:t>
      </w:r>
      <w:r w:rsidRPr="00851813">
        <w:rPr>
          <w:rFonts w:cs="Times New Roman"/>
          <w:sz w:val="20"/>
          <w:szCs w:val="20"/>
        </w:rPr>
        <w:t xml:space="preserve"> country. </w:t>
      </w:r>
      <w:r w:rsidR="00921AD2" w:rsidRPr="00851813">
        <w:rPr>
          <w:rFonts w:cs="Times New Roman"/>
          <w:sz w:val="20"/>
          <w:szCs w:val="20"/>
        </w:rPr>
        <w:t>T</w:t>
      </w:r>
      <w:r w:rsidRPr="00851813">
        <w:rPr>
          <w:rFonts w:cs="Times New Roman"/>
          <w:sz w:val="20"/>
          <w:szCs w:val="20"/>
        </w:rPr>
        <w:t xml:space="preserve">he average annual growth rate of FDI </w:t>
      </w:r>
      <w:r w:rsidR="00F443E3" w:rsidRPr="00851813">
        <w:rPr>
          <w:rFonts w:cs="Times New Roman"/>
          <w:sz w:val="20"/>
          <w:szCs w:val="20"/>
        </w:rPr>
        <w:t>across the globe</w:t>
      </w:r>
      <w:r w:rsidRPr="00851813">
        <w:rPr>
          <w:rFonts w:cs="Times New Roman"/>
          <w:sz w:val="20"/>
          <w:szCs w:val="20"/>
        </w:rPr>
        <w:t xml:space="preserve"> has been 23 percent since 1986, which is twice as much as that of trade. However, from 1990 onwards, and during the Asian financial crisis (1997), the share of FDI hosted by countries in the developing parts of world increased. The current statistical data from WTO suggests FDI flows to developing countries are generally greater than those to the developed world.</w:t>
      </w:r>
    </w:p>
    <w:p w:rsidR="00E41328" w:rsidRPr="00851813" w:rsidRDefault="00E41328" w:rsidP="005140BA">
      <w:pPr>
        <w:spacing w:after="0" w:line="240" w:lineRule="auto"/>
        <w:ind w:firstLine="720"/>
        <w:rPr>
          <w:rFonts w:cs="Times New Roman"/>
          <w:sz w:val="20"/>
          <w:szCs w:val="20"/>
        </w:rPr>
      </w:pPr>
      <w:r w:rsidRPr="00851813">
        <w:rPr>
          <w:rFonts w:cs="Times New Roman"/>
          <w:sz w:val="20"/>
          <w:szCs w:val="20"/>
        </w:rPr>
        <w:t xml:space="preserve"> From 1963 onwards the economic performance of Malaysia has been one of Asia's best. According to the State government of Malaysia, the real gross domestic product of the country grew by an average of 6.5% per year from 1957 to 2005.  However, the economic performance of the country has peaked in the early 1980s through the mid-1990s, through adoption of liberalization policy. Since then to now, the economy has experienced sustained rapid growth around 8% annually. This is highly compared to other parts of developing nations across the globe. In accounting the high level of growth, the levels of foreign and domestic private investment played a significant role as the economy gradually diversified and modernized. Now, Malaysia is one of the world's largest exporters of </w:t>
      </w:r>
      <w:hyperlink r:id="rId8" w:tooltip="Semiconductor component" w:history="1">
        <w:r w:rsidRPr="00851813">
          <w:rPr>
            <w:rFonts w:cs="Times New Roman"/>
            <w:sz w:val="20"/>
            <w:szCs w:val="20"/>
          </w:rPr>
          <w:t>semi-conductor components</w:t>
        </w:r>
      </w:hyperlink>
      <w:r w:rsidRPr="00851813">
        <w:rPr>
          <w:rFonts w:cs="Times New Roman"/>
          <w:sz w:val="20"/>
          <w:szCs w:val="20"/>
        </w:rPr>
        <w:t> and devices, </w:t>
      </w:r>
      <w:hyperlink r:id="rId9" w:tooltip="Electrical industry" w:history="1">
        <w:r w:rsidRPr="00851813">
          <w:rPr>
            <w:rFonts w:cs="Times New Roman"/>
            <w:sz w:val="20"/>
            <w:szCs w:val="20"/>
          </w:rPr>
          <w:t>electrical goods</w:t>
        </w:r>
      </w:hyperlink>
      <w:r w:rsidRPr="00851813">
        <w:rPr>
          <w:rFonts w:cs="Times New Roman"/>
          <w:sz w:val="20"/>
          <w:szCs w:val="20"/>
        </w:rPr>
        <w:t>, </w:t>
      </w:r>
      <w:hyperlink r:id="rId10" w:tooltip="Solar panel" w:history="1">
        <w:r w:rsidRPr="00851813">
          <w:rPr>
            <w:rFonts w:cs="Times New Roman"/>
            <w:sz w:val="20"/>
            <w:szCs w:val="20"/>
          </w:rPr>
          <w:t>solar panels</w:t>
        </w:r>
      </w:hyperlink>
      <w:r w:rsidRPr="00851813">
        <w:rPr>
          <w:rFonts w:cs="Times New Roman"/>
          <w:sz w:val="20"/>
          <w:szCs w:val="20"/>
        </w:rPr>
        <w:t>, and information and communication technology (</w:t>
      </w:r>
      <w:hyperlink r:id="rId11" w:tooltip="Information and communications technology" w:history="1">
        <w:r w:rsidRPr="00851813">
          <w:rPr>
            <w:rFonts w:cs="Times New Roman"/>
            <w:sz w:val="20"/>
            <w:szCs w:val="20"/>
          </w:rPr>
          <w:t>ICT</w:t>
        </w:r>
      </w:hyperlink>
      <w:r w:rsidRPr="00851813">
        <w:rPr>
          <w:rFonts w:cs="Times New Roman"/>
          <w:sz w:val="20"/>
          <w:szCs w:val="20"/>
        </w:rPr>
        <w:t xml:space="preserve">) products. </w:t>
      </w:r>
    </w:p>
    <w:p w:rsidR="00E41328" w:rsidRPr="00851813" w:rsidRDefault="00E41328" w:rsidP="005140BA">
      <w:pPr>
        <w:spacing w:after="0" w:line="240" w:lineRule="auto"/>
        <w:ind w:firstLine="720"/>
        <w:rPr>
          <w:rFonts w:cs="Times New Roman"/>
          <w:sz w:val="20"/>
          <w:szCs w:val="20"/>
        </w:rPr>
      </w:pPr>
      <w:r w:rsidRPr="00851813">
        <w:rPr>
          <w:rFonts w:cs="Times New Roman"/>
          <w:sz w:val="20"/>
          <w:szCs w:val="20"/>
        </w:rPr>
        <w:t>The core of the Malaysian economic development comes through the growth of private enterprises. The government of the country has played an active role by structuring a balanced plan strategy. The country is also attributed largely to utilize and develop all its country's natural, mineral and human resources. In fact, Har (2008) also mentioned that, even though the1980’s onwards, the emphasis of public policy has been changed through relaxing the Government's role in the economy. The major objective of the government was to enhance the export promotion and import substitution. The growth of private sector activity has played a major role for the growth achieved by the country.</w:t>
      </w:r>
    </w:p>
    <w:p w:rsidR="00E41328" w:rsidRPr="00851813" w:rsidRDefault="00E41328" w:rsidP="005140BA">
      <w:pPr>
        <w:spacing w:after="0" w:line="240" w:lineRule="auto"/>
        <w:ind w:firstLine="720"/>
        <w:rPr>
          <w:rFonts w:cs="Times New Roman"/>
          <w:sz w:val="20"/>
          <w:szCs w:val="20"/>
        </w:rPr>
      </w:pPr>
      <w:r w:rsidRPr="00851813">
        <w:rPr>
          <w:rFonts w:cs="Times New Roman"/>
          <w:sz w:val="20"/>
          <w:szCs w:val="20"/>
        </w:rPr>
        <w:t xml:space="preserve">The Central Bank of Malaysia claims that Malaysian exports and imports of goods and services accounting on average 176 per cent of the Gross National Product (GNP) in the early 1990s.  Export of goods and services played a dominant role in the Malaysian economy that helped to manage and achieve consistently high rates of real growth with relatively price stability. Among the major macroeconomic indicators, inflation and unemployment have been relatively stable for the country over the years while the balance of payments position has consistently in surplus. </w:t>
      </w:r>
    </w:p>
    <w:p w:rsidR="00E41328" w:rsidRPr="00851813" w:rsidRDefault="00E41328" w:rsidP="005140BA">
      <w:pPr>
        <w:spacing w:after="0" w:line="240" w:lineRule="auto"/>
        <w:ind w:firstLine="720"/>
        <w:rPr>
          <w:rFonts w:cs="Times New Roman"/>
          <w:color w:val="222222"/>
          <w:sz w:val="20"/>
          <w:szCs w:val="20"/>
          <w:shd w:val="clear" w:color="auto" w:fill="FFFFFF"/>
        </w:rPr>
      </w:pPr>
      <w:r w:rsidRPr="00851813">
        <w:rPr>
          <w:rFonts w:cs="Times New Roman"/>
          <w:sz w:val="20"/>
          <w:szCs w:val="20"/>
        </w:rPr>
        <w:lastRenderedPageBreak/>
        <w:t xml:space="preserve">However, Malaysia has been seriously affected by the Asian financial crisis </w:t>
      </w:r>
      <w:r w:rsidR="008B22FF" w:rsidRPr="00851813">
        <w:rPr>
          <w:rFonts w:cs="Times New Roman"/>
          <w:sz w:val="20"/>
          <w:szCs w:val="20"/>
        </w:rPr>
        <w:t>of 1997</w:t>
      </w:r>
      <w:r w:rsidRPr="00851813">
        <w:rPr>
          <w:rFonts w:cs="Times New Roman"/>
          <w:sz w:val="20"/>
          <w:szCs w:val="20"/>
        </w:rPr>
        <w:t xml:space="preserve"> with falling GDP, output and employment from the construction, manufacturing and agricultural sectors</w:t>
      </w:r>
      <w:r w:rsidR="008B22FF" w:rsidRPr="00851813">
        <w:rPr>
          <w:rFonts w:cs="Times New Roman"/>
          <w:sz w:val="20"/>
          <w:szCs w:val="20"/>
        </w:rPr>
        <w:t>.</w:t>
      </w:r>
      <w:r w:rsidRPr="00851813">
        <w:rPr>
          <w:rFonts w:cs="Times New Roman"/>
          <w:sz w:val="20"/>
          <w:szCs w:val="20"/>
        </w:rPr>
        <w:t xml:space="preserve">  The crisis had cost more than US$50 billion. In order to overcome from such crisis the government of Malaysia has taken several mega-projects in order to implement the balanced growth recovery Plan. As a result of these measures, the economy has recover quickly and now become stable and registering positive signs. For instance, the Real GDP turned around from a -7.5 per cent to 5.4% in 1998-99</w:t>
      </w:r>
      <w:r w:rsidR="008B22FF" w:rsidRPr="00851813">
        <w:rPr>
          <w:rFonts w:cs="Times New Roman"/>
          <w:sz w:val="20"/>
          <w:szCs w:val="20"/>
        </w:rPr>
        <w:t xml:space="preserve"> (</w:t>
      </w:r>
      <w:r w:rsidR="008B22FF" w:rsidRPr="00851813">
        <w:rPr>
          <w:rFonts w:cs="Times New Roman"/>
          <w:color w:val="222222"/>
          <w:sz w:val="20"/>
          <w:szCs w:val="20"/>
          <w:shd w:val="clear" w:color="auto" w:fill="FFFFFF"/>
        </w:rPr>
        <w:t>Athukorala &amp; Waglé, 2011).</w:t>
      </w:r>
    </w:p>
    <w:p w:rsidR="009E5C5E" w:rsidRPr="00851813" w:rsidRDefault="009E5C5E" w:rsidP="005140BA">
      <w:pPr>
        <w:spacing w:after="0" w:line="240" w:lineRule="auto"/>
        <w:ind w:firstLine="720"/>
        <w:rPr>
          <w:rFonts w:cs="Times New Roman"/>
          <w:sz w:val="20"/>
          <w:szCs w:val="20"/>
        </w:rPr>
      </w:pPr>
      <w:r w:rsidRPr="00851813">
        <w:rPr>
          <w:rFonts w:cs="Times New Roman"/>
          <w:sz w:val="20"/>
          <w:szCs w:val="20"/>
        </w:rPr>
        <w:t xml:space="preserve">Malaysia is one of the developing countries that belief that inflow of FDI will increase their growth and makes the country developed. The government of the country has a positive attitude towards the inflow of FDI since 1980 and have kept an open policy towards inflow of foreign investment in the country. It has made FDI to play an important role in the capital formation of the country and in taking the economy in the trajectory of development. The net FDI inflow in Malaysia in the year 1990 was close to a quarter of the Gross Fixed </w:t>
      </w:r>
      <w:r w:rsidR="00283C2A" w:rsidRPr="00851813">
        <w:rPr>
          <w:rFonts w:cs="Times New Roman"/>
          <w:sz w:val="20"/>
          <w:szCs w:val="20"/>
        </w:rPr>
        <w:t>Capital Formation</w:t>
      </w:r>
      <w:r w:rsidRPr="00851813">
        <w:rPr>
          <w:rFonts w:cs="Times New Roman"/>
          <w:sz w:val="20"/>
          <w:szCs w:val="20"/>
        </w:rPr>
        <w:t xml:space="preserve"> and contributed to 8% of the GDP. According to global records of ASEAN economics, it has been stated that Malaysia has one of the member countries of ASEAN that have attracted maximum amount of FDI in the country. Since independence of Malaysia in the year 1957, the country has taken advantages of its tangible and intangible assets to bring FDI in the country. The tangible assets refers to the resources and abundant labour force and intangible assets refers to the benefits it provides to the foreign multinationals by maintaining stable macroeconomic conditions, liberalised trade regime and a resourceful legal structure. Karim (2011) have shown that bi-directional casual link between the economic growth and FDI in Malaysia which implied that FDI inflow has contributed to the growth of Malaysia (</w:t>
      </w:r>
      <w:r w:rsidRPr="00851813">
        <w:rPr>
          <w:rFonts w:cs="Times New Roman"/>
          <w:sz w:val="20"/>
          <w:szCs w:val="20"/>
          <w:shd w:val="clear" w:color="auto" w:fill="FFFFFF"/>
        </w:rPr>
        <w:t>Gee and Karim, 2011).</w:t>
      </w:r>
    </w:p>
    <w:p w:rsidR="009E5C5E" w:rsidRPr="00851813" w:rsidRDefault="009E5C5E" w:rsidP="005140BA">
      <w:pPr>
        <w:spacing w:after="0" w:line="240" w:lineRule="auto"/>
        <w:ind w:firstLine="720"/>
        <w:rPr>
          <w:rFonts w:cs="Times New Roman"/>
          <w:sz w:val="20"/>
          <w:szCs w:val="20"/>
        </w:rPr>
      </w:pPr>
      <w:r w:rsidRPr="00851813">
        <w:rPr>
          <w:rFonts w:cs="Times New Roman"/>
          <w:sz w:val="20"/>
          <w:szCs w:val="20"/>
        </w:rPr>
        <w:t>Malaysia is a growing economy with relatively much open economic policy towards global trade and investment. The country has a consistent record of growing GDP rate from 1970 to 2005 of around 7%. In 2007, the GDP was calculated to be $357.9 billion and was recorded by the World Bank as 29</w:t>
      </w:r>
      <w:r w:rsidRPr="00851813">
        <w:rPr>
          <w:rFonts w:cs="Times New Roman"/>
          <w:sz w:val="20"/>
          <w:szCs w:val="20"/>
          <w:vertAlign w:val="superscript"/>
        </w:rPr>
        <w:t>th</w:t>
      </w:r>
      <w:r w:rsidRPr="00851813">
        <w:rPr>
          <w:rFonts w:cs="Times New Roman"/>
          <w:sz w:val="20"/>
          <w:szCs w:val="20"/>
        </w:rPr>
        <w:t xml:space="preserve"> largest economy in the globe with respect to the purchasing power parity. However, the country has also faced several crises situation due to its openness to the world, for example, the 1970 oil crisis, the 1980s downturn in the electronic industry and the 1997 Asian financial crises. The impact of these crises were felt in a large scale , however, the country could still maintain a consistent growth rate due to continuous flow of FDI in the country, especially in the manufacturing sector that contributed to 31.4% of GDP share in 2005 (</w:t>
      </w:r>
      <w:r w:rsidRPr="00851813">
        <w:rPr>
          <w:rFonts w:cs="Times New Roman"/>
          <w:sz w:val="20"/>
          <w:szCs w:val="20"/>
          <w:shd w:val="clear" w:color="auto" w:fill="FFFFFF"/>
        </w:rPr>
        <w:t>Iamsiraroj and Ulubaşoğlu,  2015)</w:t>
      </w:r>
      <w:r w:rsidRPr="00851813">
        <w:rPr>
          <w:rFonts w:cs="Times New Roman"/>
          <w:sz w:val="20"/>
          <w:szCs w:val="20"/>
        </w:rPr>
        <w:t>.</w:t>
      </w:r>
    </w:p>
    <w:p w:rsidR="009E5C5E" w:rsidRPr="00851813" w:rsidRDefault="009E5C5E" w:rsidP="005140BA">
      <w:pPr>
        <w:spacing w:after="0" w:line="240" w:lineRule="auto"/>
        <w:ind w:firstLine="720"/>
        <w:rPr>
          <w:rFonts w:cs="Times New Roman"/>
          <w:sz w:val="20"/>
          <w:szCs w:val="20"/>
        </w:rPr>
      </w:pPr>
      <w:r w:rsidRPr="00851813">
        <w:rPr>
          <w:rFonts w:cs="Times New Roman"/>
          <w:sz w:val="20"/>
          <w:szCs w:val="20"/>
        </w:rPr>
        <w:t xml:space="preserve">The flow of FDI has been the main driver of growth in Malaysia. The Investment Incentives Act 1968 was introduced in Malaysia to increase the flow of FDI. Further, the policy reforms,  the setting of free trade economic zones in 1970, the export incentives provided in the open policy 1980, all have increased the flow of FDI enormously. Furthermore, the government has provided liberal incentives in form of giving permission for having a larger share of ownership in foreign equity under the Promotion of Investment Act (PIA), 1986. As a result of such liberal policies, the flow of FDI has </w:t>
      </w:r>
      <w:r w:rsidR="000130E2" w:rsidRPr="00851813">
        <w:rPr>
          <w:rFonts w:cs="Times New Roman"/>
          <w:sz w:val="20"/>
          <w:szCs w:val="20"/>
        </w:rPr>
        <w:t>grown</w:t>
      </w:r>
      <w:r w:rsidRPr="00851813">
        <w:rPr>
          <w:rFonts w:cs="Times New Roman"/>
          <w:sz w:val="20"/>
          <w:szCs w:val="20"/>
        </w:rPr>
        <w:t xml:space="preserve"> at a rate of 38.7% during the period 1986 and 1996. The major area of investment by the foreign companies was in electronic, chemicals, metal, minerals, food products, plastic and scientific equipments (</w:t>
      </w:r>
      <w:r w:rsidRPr="00851813">
        <w:rPr>
          <w:rFonts w:cs="Times New Roman"/>
          <w:sz w:val="20"/>
          <w:szCs w:val="20"/>
          <w:shd w:val="clear" w:color="auto" w:fill="FFFFFF"/>
        </w:rPr>
        <w:t>Lall,2013)</w:t>
      </w:r>
      <w:r w:rsidRPr="00851813">
        <w:rPr>
          <w:rFonts w:cs="Times New Roman"/>
          <w:sz w:val="20"/>
          <w:szCs w:val="20"/>
        </w:rPr>
        <w:t xml:space="preserve">. </w:t>
      </w:r>
    </w:p>
    <w:p w:rsidR="009E5C5E" w:rsidRPr="00851813" w:rsidRDefault="009E5C5E" w:rsidP="005140BA">
      <w:pPr>
        <w:spacing w:after="0" w:line="240" w:lineRule="auto"/>
        <w:ind w:firstLine="720"/>
        <w:rPr>
          <w:rFonts w:cs="Times New Roman"/>
          <w:sz w:val="20"/>
          <w:szCs w:val="20"/>
        </w:rPr>
      </w:pPr>
      <w:r w:rsidRPr="00851813">
        <w:rPr>
          <w:rFonts w:cs="Times New Roman"/>
          <w:sz w:val="20"/>
          <w:szCs w:val="20"/>
        </w:rPr>
        <w:t>The flow of FDI has slowed down in the year 2007 as shown by the table below where the country’s rank has reduced from 67 to 71 in the inward FDI performance index. However, the inward FDI potential index has improved from 41 to 40.</w:t>
      </w:r>
    </w:p>
    <w:p w:rsidR="005140BA" w:rsidRDefault="005140BA" w:rsidP="00DB6CFA">
      <w:pPr>
        <w:spacing w:after="0" w:line="240" w:lineRule="auto"/>
        <w:rPr>
          <w:rFonts w:cs="Times New Roman"/>
          <w:b/>
          <w:sz w:val="20"/>
          <w:szCs w:val="20"/>
        </w:rPr>
      </w:pPr>
    </w:p>
    <w:p w:rsidR="009E5C5E" w:rsidRPr="00851813" w:rsidRDefault="00283C2A" w:rsidP="005140BA">
      <w:pPr>
        <w:spacing w:after="0" w:line="240" w:lineRule="auto"/>
        <w:jc w:val="center"/>
        <w:rPr>
          <w:rFonts w:cs="Times New Roman"/>
          <w:b/>
          <w:sz w:val="20"/>
          <w:szCs w:val="20"/>
        </w:rPr>
      </w:pPr>
      <w:r w:rsidRPr="00851813">
        <w:rPr>
          <w:rFonts w:cs="Times New Roman"/>
          <w:b/>
          <w:sz w:val="20"/>
          <w:szCs w:val="20"/>
        </w:rPr>
        <w:t>Table 1: FDI Index</w:t>
      </w:r>
    </w:p>
    <w:tbl>
      <w:tblPr>
        <w:tblStyle w:val="TableGrid"/>
        <w:tblW w:w="0" w:type="auto"/>
        <w:jc w:val="center"/>
        <w:tblLook w:val="04A0"/>
      </w:tblPr>
      <w:tblGrid>
        <w:gridCol w:w="2808"/>
        <w:gridCol w:w="3081"/>
        <w:gridCol w:w="3081"/>
      </w:tblGrid>
      <w:tr w:rsidR="009E5C5E" w:rsidRPr="00B127FE" w:rsidTr="00577E00">
        <w:trPr>
          <w:jc w:val="center"/>
        </w:trPr>
        <w:tc>
          <w:tcPr>
            <w:tcW w:w="2808" w:type="dxa"/>
            <w:vMerge w:val="restart"/>
          </w:tcPr>
          <w:p w:rsidR="009E5C5E" w:rsidRPr="00B127FE" w:rsidRDefault="009E5C5E" w:rsidP="00DB6CFA">
            <w:pPr>
              <w:spacing w:line="240" w:lineRule="auto"/>
              <w:rPr>
                <w:rFonts w:cs="Times New Roman"/>
                <w:sz w:val="16"/>
                <w:szCs w:val="20"/>
              </w:rPr>
            </w:pPr>
          </w:p>
          <w:p w:rsidR="009E5C5E" w:rsidRPr="00B127FE" w:rsidRDefault="009E5C5E" w:rsidP="00DB6CFA">
            <w:pPr>
              <w:spacing w:line="240" w:lineRule="auto"/>
              <w:rPr>
                <w:rFonts w:cs="Times New Roman"/>
                <w:sz w:val="16"/>
                <w:szCs w:val="20"/>
              </w:rPr>
            </w:pPr>
            <w:r w:rsidRPr="00B127FE">
              <w:rPr>
                <w:rFonts w:cs="Times New Roman"/>
                <w:sz w:val="16"/>
                <w:szCs w:val="20"/>
              </w:rPr>
              <w:t>Economy</w:t>
            </w:r>
          </w:p>
        </w:tc>
        <w:tc>
          <w:tcPr>
            <w:tcW w:w="3081" w:type="dxa"/>
          </w:tcPr>
          <w:p w:rsidR="009E5C5E" w:rsidRPr="00B127FE" w:rsidRDefault="009E5C5E" w:rsidP="00DB6CFA">
            <w:pPr>
              <w:spacing w:line="240" w:lineRule="auto"/>
              <w:rPr>
                <w:rFonts w:cs="Times New Roman"/>
                <w:sz w:val="16"/>
                <w:szCs w:val="20"/>
              </w:rPr>
            </w:pPr>
            <w:r w:rsidRPr="00B127FE">
              <w:rPr>
                <w:rFonts w:cs="Times New Roman"/>
                <w:sz w:val="16"/>
                <w:szCs w:val="20"/>
              </w:rPr>
              <w:t>Inward FDI performance index</w:t>
            </w:r>
          </w:p>
        </w:tc>
        <w:tc>
          <w:tcPr>
            <w:tcW w:w="3081" w:type="dxa"/>
          </w:tcPr>
          <w:p w:rsidR="009E5C5E" w:rsidRPr="00B127FE" w:rsidRDefault="009E5C5E" w:rsidP="00DB6CFA">
            <w:pPr>
              <w:spacing w:line="240" w:lineRule="auto"/>
              <w:rPr>
                <w:rFonts w:cs="Times New Roman"/>
                <w:sz w:val="16"/>
                <w:szCs w:val="20"/>
              </w:rPr>
            </w:pPr>
            <w:r w:rsidRPr="00B127FE">
              <w:rPr>
                <w:rFonts w:cs="Times New Roman"/>
                <w:sz w:val="16"/>
                <w:szCs w:val="20"/>
              </w:rPr>
              <w:t>Inward FDI potential Index</w:t>
            </w:r>
          </w:p>
        </w:tc>
      </w:tr>
      <w:tr w:rsidR="009E5C5E" w:rsidRPr="00B127FE" w:rsidTr="00577E00">
        <w:trPr>
          <w:jc w:val="center"/>
        </w:trPr>
        <w:tc>
          <w:tcPr>
            <w:tcW w:w="2808" w:type="dxa"/>
            <w:vMerge/>
          </w:tcPr>
          <w:p w:rsidR="009E5C5E" w:rsidRPr="00B127FE" w:rsidRDefault="009E5C5E" w:rsidP="00DB6CFA">
            <w:pPr>
              <w:spacing w:line="240" w:lineRule="auto"/>
              <w:rPr>
                <w:rFonts w:cs="Times New Roman"/>
                <w:sz w:val="16"/>
                <w:szCs w:val="20"/>
              </w:rPr>
            </w:pPr>
          </w:p>
        </w:tc>
        <w:tc>
          <w:tcPr>
            <w:tcW w:w="3081" w:type="dxa"/>
          </w:tcPr>
          <w:p w:rsidR="009E5C5E" w:rsidRPr="00B127FE" w:rsidRDefault="009E5C5E" w:rsidP="00DB6CFA">
            <w:pPr>
              <w:spacing w:line="240" w:lineRule="auto"/>
              <w:rPr>
                <w:rFonts w:cs="Times New Roman"/>
                <w:sz w:val="16"/>
                <w:szCs w:val="20"/>
              </w:rPr>
            </w:pPr>
            <w:r w:rsidRPr="00B127FE">
              <w:rPr>
                <w:rFonts w:cs="Times New Roman"/>
                <w:sz w:val="16"/>
                <w:szCs w:val="20"/>
              </w:rPr>
              <w:t>2005                                   2007</w:t>
            </w:r>
          </w:p>
        </w:tc>
        <w:tc>
          <w:tcPr>
            <w:tcW w:w="3081" w:type="dxa"/>
          </w:tcPr>
          <w:p w:rsidR="009E5C5E" w:rsidRPr="00B127FE" w:rsidRDefault="009E5C5E" w:rsidP="00DB6CFA">
            <w:pPr>
              <w:spacing w:line="240" w:lineRule="auto"/>
              <w:rPr>
                <w:rFonts w:cs="Times New Roman"/>
                <w:sz w:val="16"/>
                <w:szCs w:val="20"/>
              </w:rPr>
            </w:pPr>
            <w:r w:rsidRPr="00B127FE">
              <w:rPr>
                <w:rFonts w:cs="Times New Roman"/>
                <w:sz w:val="16"/>
                <w:szCs w:val="20"/>
              </w:rPr>
              <w:t>2005                                  2007</w:t>
            </w:r>
          </w:p>
        </w:tc>
      </w:tr>
      <w:tr w:rsidR="009E5C5E" w:rsidRPr="00B127FE" w:rsidTr="00577E00">
        <w:trPr>
          <w:jc w:val="center"/>
        </w:trPr>
        <w:tc>
          <w:tcPr>
            <w:tcW w:w="2808" w:type="dxa"/>
          </w:tcPr>
          <w:p w:rsidR="009E5C5E" w:rsidRPr="00B127FE" w:rsidRDefault="009E5C5E" w:rsidP="00DB6CFA">
            <w:pPr>
              <w:spacing w:line="240" w:lineRule="auto"/>
              <w:rPr>
                <w:rFonts w:cs="Times New Roman"/>
                <w:sz w:val="16"/>
                <w:szCs w:val="20"/>
              </w:rPr>
            </w:pPr>
            <w:r w:rsidRPr="00B127FE">
              <w:rPr>
                <w:rFonts w:cs="Times New Roman"/>
                <w:sz w:val="16"/>
                <w:szCs w:val="20"/>
              </w:rPr>
              <w:t>Malaysia</w:t>
            </w:r>
          </w:p>
        </w:tc>
        <w:tc>
          <w:tcPr>
            <w:tcW w:w="3081" w:type="dxa"/>
          </w:tcPr>
          <w:p w:rsidR="009E5C5E" w:rsidRPr="00B127FE" w:rsidRDefault="009E5C5E" w:rsidP="00DB6CFA">
            <w:pPr>
              <w:spacing w:line="240" w:lineRule="auto"/>
              <w:rPr>
                <w:rFonts w:cs="Times New Roman"/>
                <w:sz w:val="16"/>
                <w:szCs w:val="20"/>
              </w:rPr>
            </w:pPr>
            <w:r w:rsidRPr="00B127FE">
              <w:rPr>
                <w:rFonts w:cs="Times New Roman"/>
                <w:sz w:val="16"/>
                <w:szCs w:val="20"/>
              </w:rPr>
              <w:t>67                                      71</w:t>
            </w:r>
          </w:p>
        </w:tc>
        <w:tc>
          <w:tcPr>
            <w:tcW w:w="3081" w:type="dxa"/>
          </w:tcPr>
          <w:p w:rsidR="009E5C5E" w:rsidRPr="00B127FE" w:rsidRDefault="009E5C5E" w:rsidP="00DB6CFA">
            <w:pPr>
              <w:spacing w:line="240" w:lineRule="auto"/>
              <w:rPr>
                <w:rFonts w:cs="Times New Roman"/>
                <w:sz w:val="16"/>
                <w:szCs w:val="20"/>
              </w:rPr>
            </w:pPr>
            <w:r w:rsidRPr="00B127FE">
              <w:rPr>
                <w:rFonts w:cs="Times New Roman"/>
                <w:sz w:val="16"/>
                <w:szCs w:val="20"/>
              </w:rPr>
              <w:t>41                                      40</w:t>
            </w:r>
          </w:p>
        </w:tc>
      </w:tr>
    </w:tbl>
    <w:p w:rsidR="009E5C5E" w:rsidRPr="00851813" w:rsidRDefault="00283C2A" w:rsidP="00DB6CFA">
      <w:pPr>
        <w:spacing w:after="0" w:line="240" w:lineRule="auto"/>
        <w:rPr>
          <w:rFonts w:cs="Times New Roman"/>
          <w:i/>
          <w:sz w:val="20"/>
          <w:szCs w:val="20"/>
        </w:rPr>
      </w:pPr>
      <w:r w:rsidRPr="00851813">
        <w:rPr>
          <w:rFonts w:cs="Times New Roman"/>
          <w:i/>
          <w:sz w:val="20"/>
          <w:szCs w:val="20"/>
        </w:rPr>
        <w:t xml:space="preserve"> Source: UNCTAD, 2008</w:t>
      </w:r>
    </w:p>
    <w:p w:rsidR="003C78AE" w:rsidRDefault="003C78AE" w:rsidP="00512B35">
      <w:pPr>
        <w:spacing w:after="0" w:line="240" w:lineRule="auto"/>
        <w:jc w:val="center"/>
        <w:rPr>
          <w:rFonts w:cs="Times New Roman"/>
          <w:b/>
          <w:sz w:val="20"/>
          <w:szCs w:val="20"/>
        </w:rPr>
      </w:pPr>
    </w:p>
    <w:p w:rsidR="009E5C5E" w:rsidRPr="00851813" w:rsidRDefault="00283C2A" w:rsidP="00512B35">
      <w:pPr>
        <w:spacing w:after="0" w:line="240" w:lineRule="auto"/>
        <w:jc w:val="center"/>
        <w:rPr>
          <w:rFonts w:cs="Times New Roman"/>
          <w:sz w:val="20"/>
          <w:szCs w:val="20"/>
        </w:rPr>
      </w:pPr>
      <w:r w:rsidRPr="00851813">
        <w:rPr>
          <w:rFonts w:cs="Times New Roman"/>
          <w:b/>
          <w:sz w:val="20"/>
          <w:szCs w:val="20"/>
        </w:rPr>
        <w:t>Figure 1:Net Inflow of FDI as a %of GDP in Malaysia from 1976 to 2016</w:t>
      </w:r>
      <w:r w:rsidR="009E5C5E" w:rsidRPr="00851813">
        <w:rPr>
          <w:rFonts w:cs="Times New Roman"/>
          <w:noProof/>
          <w:sz w:val="20"/>
          <w:szCs w:val="20"/>
          <w:lang w:val="en-US" w:bidi="hi-IN"/>
        </w:rPr>
        <w:drawing>
          <wp:inline distT="0" distB="0" distL="0" distR="0">
            <wp:extent cx="5078903" cy="1599458"/>
            <wp:effectExtent l="38100" t="57150" r="121747" b="95992"/>
            <wp:docPr id="6" name="Picture 5" descr=" malaysia foreign direct investment net inflows percent of gdp wb 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malaysia foreign direct investment net inflows percent of gdp wb data"/>
                    <pic:cNvPicPr>
                      <a:picLocks noChangeAspect="1" noChangeArrowheads="1"/>
                    </pic:cNvPicPr>
                  </pic:nvPicPr>
                  <pic:blipFill>
                    <a:blip r:embed="rId12" cstate="print"/>
                    <a:srcRect/>
                    <a:stretch>
                      <a:fillRect/>
                    </a:stretch>
                  </pic:blipFill>
                  <pic:spPr bwMode="auto">
                    <a:xfrm>
                      <a:off x="0" y="0"/>
                      <a:ext cx="5082229" cy="160050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9E5C5E" w:rsidRPr="00851813" w:rsidRDefault="009E5C5E" w:rsidP="00DB6CFA">
      <w:pPr>
        <w:spacing w:after="0" w:line="240" w:lineRule="auto"/>
        <w:rPr>
          <w:rFonts w:cs="Times New Roman"/>
          <w:i/>
          <w:sz w:val="20"/>
          <w:szCs w:val="20"/>
        </w:rPr>
      </w:pPr>
      <w:r w:rsidRPr="00851813">
        <w:rPr>
          <w:rFonts w:cs="Times New Roman"/>
          <w:i/>
          <w:sz w:val="20"/>
          <w:szCs w:val="20"/>
        </w:rPr>
        <w:t>Source: World Bank</w:t>
      </w:r>
    </w:p>
    <w:p w:rsidR="009E5C5E" w:rsidRPr="00851813" w:rsidRDefault="009E5C5E" w:rsidP="00D15121">
      <w:pPr>
        <w:spacing w:after="0" w:line="240" w:lineRule="auto"/>
        <w:ind w:firstLine="720"/>
        <w:rPr>
          <w:rFonts w:cs="Times New Roman"/>
          <w:sz w:val="20"/>
          <w:szCs w:val="20"/>
        </w:rPr>
      </w:pPr>
      <w:r w:rsidRPr="00851813">
        <w:rPr>
          <w:rFonts w:cs="Times New Roman"/>
          <w:sz w:val="20"/>
          <w:szCs w:val="20"/>
        </w:rPr>
        <w:lastRenderedPageBreak/>
        <w:t>According to the World Bank data, the FDI net inflows as a percentage of GDP was 3.14 in 2014 in Malaysia. There has been several up and down in the inflow of FDI but overall there has been a steady flow besides few global crises situations like that of 2008 United States recession which is shown by the trend line across the data set. The highest inflow was in 1982 and 1994 and the lowest was in 2008 and 2001 (</w:t>
      </w:r>
      <w:r w:rsidRPr="00851813">
        <w:rPr>
          <w:rFonts w:cs="Times New Roman"/>
          <w:sz w:val="20"/>
          <w:szCs w:val="20"/>
          <w:shd w:val="clear" w:color="auto" w:fill="FFFFFF"/>
        </w:rPr>
        <w:t>Blonigen and Piger, 2014)</w:t>
      </w:r>
      <w:r w:rsidRPr="00851813">
        <w:rPr>
          <w:rFonts w:cs="Times New Roman"/>
          <w:sz w:val="20"/>
          <w:szCs w:val="20"/>
        </w:rPr>
        <w:t>.</w:t>
      </w:r>
    </w:p>
    <w:p w:rsidR="00920228" w:rsidRPr="00851813" w:rsidRDefault="00E41328" w:rsidP="00D15121">
      <w:pPr>
        <w:spacing w:after="0" w:line="240" w:lineRule="auto"/>
        <w:ind w:firstLine="720"/>
        <w:rPr>
          <w:rFonts w:cs="Times New Roman"/>
          <w:sz w:val="20"/>
          <w:szCs w:val="20"/>
        </w:rPr>
      </w:pPr>
      <w:r w:rsidRPr="00851813">
        <w:rPr>
          <w:rFonts w:cs="Times New Roman"/>
          <w:sz w:val="20"/>
          <w:szCs w:val="20"/>
        </w:rPr>
        <w:t>While one of the important literatures analyzed the relationship between FDI and economic growth of the country, ( Chowdhury and Mavrotas ;2006); (</w:t>
      </w:r>
      <w:r w:rsidRPr="00851813">
        <w:rPr>
          <w:rFonts w:cs="Times New Roman"/>
          <w:sz w:val="20"/>
          <w:szCs w:val="20"/>
          <w:shd w:val="clear" w:color="auto" w:fill="FFFFFF"/>
        </w:rPr>
        <w:t>Büthe and Milner;2014)</w:t>
      </w:r>
      <w:r w:rsidRPr="00851813">
        <w:rPr>
          <w:rFonts w:cs="Times New Roman"/>
          <w:sz w:val="20"/>
          <w:szCs w:val="20"/>
        </w:rPr>
        <w:t xml:space="preserve"> (Borensztein et al., 1998 for details), some others were concerned about identifying the factors that affects the inflow of FDI of the country. For instance, a paper by </w:t>
      </w:r>
      <w:r w:rsidRPr="00851813">
        <w:rPr>
          <w:rFonts w:cs="Times New Roman"/>
          <w:color w:val="222222"/>
          <w:sz w:val="20"/>
          <w:szCs w:val="20"/>
          <w:shd w:val="clear" w:color="auto" w:fill="FFFFFF"/>
        </w:rPr>
        <w:t>Athukorala (2011) found that</w:t>
      </w:r>
      <w:r w:rsidRPr="00851813">
        <w:rPr>
          <w:rFonts w:cs="Times New Roman"/>
          <w:sz w:val="20"/>
          <w:szCs w:val="20"/>
        </w:rPr>
        <w:t xml:space="preserve"> the era of 1990’s also witnessed a sustained economic growth through increase in productivity, industrial upgrading, improvement in information technology, since more emphasis was given on the government policies which in turn helps to vibrant small and medium-scale industrial sectors. </w:t>
      </w:r>
      <w:r w:rsidR="00920228" w:rsidRPr="00851813">
        <w:rPr>
          <w:rFonts w:cs="Times New Roman"/>
          <w:sz w:val="20"/>
          <w:szCs w:val="20"/>
        </w:rPr>
        <w:t>Further, Busse &amp; Hefeker (2007), discusses the other important determinants of the inflow foreign direct investment like the stable government, absence of conflict in the internal system or environment of the host country and basic rights of democracy. It was concluded by them that inflow of FDI increases if the institute of the country support it. The quality of the institution increases the flows of the FDI in the country and bad quality institute reduces the inflow of the FDI. Further, stability in the macroeconomic indicators of the country is an important factor that determines the affect of FDI on the economic growth of the country.</w:t>
      </w:r>
    </w:p>
    <w:p w:rsidR="00D15121" w:rsidRDefault="00E41328" w:rsidP="00D15121">
      <w:pPr>
        <w:spacing w:after="0" w:line="240" w:lineRule="auto"/>
        <w:ind w:firstLine="720"/>
        <w:rPr>
          <w:rFonts w:cs="Times New Roman"/>
          <w:sz w:val="20"/>
          <w:szCs w:val="20"/>
        </w:rPr>
      </w:pPr>
      <w:r w:rsidRPr="00851813">
        <w:rPr>
          <w:rFonts w:cs="Times New Roman"/>
          <w:sz w:val="20"/>
          <w:szCs w:val="20"/>
        </w:rPr>
        <w:t>With this, the primary objective of the paper is to identify the factors that can either directly or indirectly affects inflow of FDI in Malaysia. Also how such inflow of FDI can affect the export concentration index</w:t>
      </w:r>
      <w:r w:rsidR="000A540A" w:rsidRPr="00851813">
        <w:rPr>
          <w:rFonts w:cs="Times New Roman"/>
          <w:sz w:val="20"/>
          <w:szCs w:val="20"/>
        </w:rPr>
        <w:t xml:space="preserve"> (represented as HH</w:t>
      </w:r>
      <w:r w:rsidR="008329B8" w:rsidRPr="00851813">
        <w:rPr>
          <w:rFonts w:cs="Times New Roman"/>
          <w:sz w:val="20"/>
          <w:szCs w:val="20"/>
        </w:rPr>
        <w:t>I index)</w:t>
      </w:r>
      <w:r w:rsidRPr="00851813">
        <w:rPr>
          <w:rFonts w:cs="Times New Roman"/>
          <w:sz w:val="20"/>
          <w:szCs w:val="20"/>
        </w:rPr>
        <w:t xml:space="preserve"> of the country. That is, whether such inflows of FDI are concentrated within a set of industries that dominates Malaysian export or not. Therefore, structure of the paper is organized as follows. Section 1.1 of the paper introduces the concept and tried to justify the possible reasons behind </w:t>
      </w:r>
      <w:r w:rsidR="009E5C5E" w:rsidRPr="00851813">
        <w:rPr>
          <w:rFonts w:cs="Times New Roman"/>
          <w:sz w:val="20"/>
          <w:szCs w:val="20"/>
        </w:rPr>
        <w:t xml:space="preserve">the study through </w:t>
      </w:r>
      <w:r w:rsidR="00283C2A" w:rsidRPr="00851813">
        <w:rPr>
          <w:rFonts w:cs="Times New Roman"/>
          <w:sz w:val="20"/>
          <w:szCs w:val="20"/>
        </w:rPr>
        <w:t>a brief review</w:t>
      </w:r>
      <w:r w:rsidRPr="00851813">
        <w:rPr>
          <w:rFonts w:cs="Times New Roman"/>
          <w:sz w:val="20"/>
          <w:szCs w:val="20"/>
        </w:rPr>
        <w:t xml:space="preserve"> of literature. Section 1.2 clearly mentioned the basic research objectives of the paper. Section 1.3 clarifies the data and methodology of the paper. Finally, section 1.4 interprets the result and concludes</w:t>
      </w:r>
    </w:p>
    <w:p w:rsidR="00D15121" w:rsidRPr="00851813" w:rsidRDefault="00D15121" w:rsidP="00D15121">
      <w:pPr>
        <w:spacing w:after="0" w:line="240" w:lineRule="auto"/>
        <w:ind w:firstLine="720"/>
        <w:rPr>
          <w:rFonts w:cs="Times New Roman"/>
          <w:sz w:val="20"/>
          <w:szCs w:val="20"/>
        </w:rPr>
      </w:pPr>
    </w:p>
    <w:p w:rsidR="008A11F4" w:rsidRPr="00851813" w:rsidRDefault="008A11F4" w:rsidP="00D15121">
      <w:pPr>
        <w:pStyle w:val="Heading1"/>
        <w:numPr>
          <w:ilvl w:val="1"/>
          <w:numId w:val="3"/>
        </w:numPr>
        <w:spacing w:before="0" w:line="240" w:lineRule="auto"/>
        <w:jc w:val="both"/>
        <w:rPr>
          <w:rFonts w:cs="Times New Roman"/>
          <w:sz w:val="20"/>
          <w:szCs w:val="20"/>
        </w:rPr>
      </w:pPr>
      <w:r w:rsidRPr="00851813">
        <w:rPr>
          <w:rFonts w:cs="Times New Roman"/>
          <w:sz w:val="20"/>
          <w:szCs w:val="20"/>
        </w:rPr>
        <w:t>Research Objectives</w:t>
      </w:r>
    </w:p>
    <w:p w:rsidR="008A11F4" w:rsidRPr="00851813" w:rsidRDefault="008A11F4" w:rsidP="00DB6CFA">
      <w:pPr>
        <w:pStyle w:val="ListParagraph"/>
        <w:spacing w:after="0" w:line="240" w:lineRule="auto"/>
        <w:ind w:left="0"/>
        <w:rPr>
          <w:rFonts w:cs="Times New Roman"/>
          <w:sz w:val="20"/>
          <w:szCs w:val="20"/>
        </w:rPr>
      </w:pPr>
      <w:r w:rsidRPr="00851813">
        <w:rPr>
          <w:rFonts w:cs="Times New Roman"/>
          <w:sz w:val="20"/>
          <w:szCs w:val="20"/>
        </w:rPr>
        <w:t xml:space="preserve">The objective of the research is </w:t>
      </w:r>
      <w:r w:rsidR="008329B8" w:rsidRPr="00851813">
        <w:rPr>
          <w:rFonts w:cs="Times New Roman"/>
          <w:sz w:val="20"/>
          <w:szCs w:val="20"/>
        </w:rPr>
        <w:t>t</w:t>
      </w:r>
      <w:r w:rsidRPr="00851813">
        <w:rPr>
          <w:rFonts w:cs="Times New Roman"/>
          <w:sz w:val="20"/>
          <w:szCs w:val="20"/>
        </w:rPr>
        <w:t>o identify the factors that directly or indirectly affect the inflow of FDI in Malaysia</w:t>
      </w:r>
      <w:r w:rsidR="008329B8" w:rsidRPr="00851813">
        <w:rPr>
          <w:rFonts w:cs="Times New Roman"/>
          <w:sz w:val="20"/>
          <w:szCs w:val="20"/>
        </w:rPr>
        <w:t>. Further to</w:t>
      </w:r>
      <w:r w:rsidRPr="00851813">
        <w:rPr>
          <w:rFonts w:cs="Times New Roman"/>
          <w:sz w:val="20"/>
          <w:szCs w:val="20"/>
        </w:rPr>
        <w:t xml:space="preserve"> examine whether FDI inflow has lead to export diversification in Malaysia</w:t>
      </w:r>
      <w:r w:rsidR="008329B8" w:rsidRPr="00851813">
        <w:rPr>
          <w:rFonts w:cs="Times New Roman"/>
          <w:sz w:val="20"/>
          <w:szCs w:val="20"/>
        </w:rPr>
        <w:t xml:space="preserve"> or not. </w:t>
      </w:r>
    </w:p>
    <w:p w:rsidR="004B7F99" w:rsidRPr="00851813" w:rsidRDefault="004B7F99" w:rsidP="00D15121">
      <w:pPr>
        <w:pStyle w:val="Heading1"/>
        <w:spacing w:before="0" w:line="240" w:lineRule="auto"/>
        <w:ind w:left="360" w:hanging="360"/>
        <w:jc w:val="both"/>
        <w:rPr>
          <w:rFonts w:cs="Times New Roman"/>
          <w:sz w:val="20"/>
          <w:szCs w:val="20"/>
        </w:rPr>
      </w:pPr>
      <w:r w:rsidRPr="00851813">
        <w:rPr>
          <w:rFonts w:cs="Times New Roman"/>
          <w:sz w:val="20"/>
          <w:szCs w:val="20"/>
        </w:rPr>
        <w:t>1.3</w:t>
      </w:r>
      <w:r w:rsidRPr="00851813">
        <w:rPr>
          <w:rFonts w:cs="Times New Roman"/>
          <w:sz w:val="20"/>
          <w:szCs w:val="20"/>
        </w:rPr>
        <w:tab/>
      </w:r>
      <w:r w:rsidR="008A11F4" w:rsidRPr="00851813">
        <w:rPr>
          <w:rFonts w:cs="Times New Roman"/>
          <w:sz w:val="20"/>
          <w:szCs w:val="20"/>
        </w:rPr>
        <w:t>Research Methodology and Data Analysis</w:t>
      </w:r>
    </w:p>
    <w:p w:rsidR="00A424C2" w:rsidRPr="00851813" w:rsidRDefault="00D15121" w:rsidP="00DB6CFA">
      <w:pPr>
        <w:spacing w:after="0" w:line="240" w:lineRule="auto"/>
        <w:rPr>
          <w:rFonts w:cs="Times New Roman"/>
          <w:i/>
          <w:sz w:val="20"/>
          <w:szCs w:val="20"/>
        </w:rPr>
      </w:pPr>
      <w:r>
        <w:rPr>
          <w:rFonts w:cs="Times New Roman"/>
          <w:sz w:val="20"/>
          <w:szCs w:val="20"/>
        </w:rPr>
        <w:tab/>
      </w:r>
      <w:r w:rsidR="00A424C2" w:rsidRPr="00851813">
        <w:rPr>
          <w:rFonts w:cs="Times New Roman"/>
          <w:sz w:val="20"/>
          <w:szCs w:val="20"/>
        </w:rPr>
        <w:t>In order to observe the factors that affect the inflow of FDI of the country, the paper is going to use the factors that can directly or indirectly affects the inflow of FDI of the country. The variables taken to represent the factors are GDP growth rate, volume of tax calcul</w:t>
      </w:r>
      <w:r w:rsidR="00367C92" w:rsidRPr="00851813">
        <w:rPr>
          <w:rFonts w:cs="Times New Roman"/>
          <w:sz w:val="20"/>
          <w:szCs w:val="20"/>
        </w:rPr>
        <w:t xml:space="preserve">ated, time spend on governance and </w:t>
      </w:r>
      <w:r w:rsidR="00A424C2" w:rsidRPr="00851813">
        <w:rPr>
          <w:rFonts w:cs="Times New Roman"/>
          <w:sz w:val="20"/>
          <w:szCs w:val="20"/>
        </w:rPr>
        <w:t xml:space="preserve">amount of inflation.  The variables are first defined and then how they can directly or indirectly affect FDI is discussed. </w:t>
      </w:r>
    </w:p>
    <w:p w:rsidR="00A424C2" w:rsidRPr="00851813" w:rsidRDefault="00A424C2" w:rsidP="008A21D8">
      <w:pPr>
        <w:spacing w:after="0" w:line="240" w:lineRule="auto"/>
        <w:ind w:firstLine="720"/>
        <w:rPr>
          <w:rFonts w:cs="Times New Roman"/>
          <w:sz w:val="20"/>
          <w:szCs w:val="20"/>
        </w:rPr>
      </w:pPr>
      <w:r w:rsidRPr="00851813">
        <w:rPr>
          <w:rFonts w:cs="Times New Roman"/>
          <w:b/>
          <w:sz w:val="20"/>
          <w:szCs w:val="20"/>
        </w:rPr>
        <w:t>GDP growth rate</w:t>
      </w:r>
      <w:r w:rsidRPr="00851813">
        <w:rPr>
          <w:rFonts w:cs="Times New Roman"/>
          <w:sz w:val="20"/>
          <w:szCs w:val="20"/>
        </w:rPr>
        <w:t>:  According to World Bank, “</w:t>
      </w:r>
      <w:r w:rsidRPr="00851813">
        <w:rPr>
          <w:rFonts w:cs="Times New Roman"/>
          <w:i/>
          <w:sz w:val="20"/>
          <w:szCs w:val="20"/>
        </w:rPr>
        <w:t>Annual percentage growth rate of GDP at market prices based on constant local currency. Aggregates are based on constant 2010 U.S. dollars. GDP is the sum of gross value added by all resident producers in the economy plus any product taxes and minus any subsidies not included in the value of the products. It is calculated without making deductions for depreciation of fabricated assets or for depletion and degradation of natural resources</w:t>
      </w:r>
      <w:r w:rsidRPr="00851813">
        <w:rPr>
          <w:rFonts w:cs="Times New Roman"/>
          <w:sz w:val="20"/>
          <w:szCs w:val="20"/>
        </w:rPr>
        <w:t>.” With increase in GDP growth rate, the rate of FDI in also going to increase. Therefore, GDP and FDI are expected to be positively related with each other.</w:t>
      </w:r>
    </w:p>
    <w:p w:rsidR="00A424C2" w:rsidRPr="00851813" w:rsidRDefault="00A424C2" w:rsidP="008A21D8">
      <w:pPr>
        <w:spacing w:after="0" w:line="240" w:lineRule="auto"/>
        <w:ind w:firstLine="720"/>
        <w:rPr>
          <w:rFonts w:cs="Times New Roman"/>
          <w:sz w:val="20"/>
          <w:szCs w:val="20"/>
        </w:rPr>
      </w:pPr>
      <w:r w:rsidRPr="00851813">
        <w:rPr>
          <w:rFonts w:cs="Times New Roman"/>
          <w:b/>
          <w:sz w:val="20"/>
          <w:szCs w:val="20"/>
        </w:rPr>
        <w:t>Inflation consumer prices</w:t>
      </w:r>
      <w:r w:rsidRPr="00851813">
        <w:rPr>
          <w:rFonts w:cs="Times New Roman"/>
          <w:sz w:val="20"/>
          <w:szCs w:val="20"/>
        </w:rPr>
        <w:t>: According to World Bank “</w:t>
      </w:r>
      <w:r w:rsidRPr="00851813">
        <w:rPr>
          <w:rFonts w:cs="Times New Roman"/>
          <w:i/>
          <w:sz w:val="20"/>
          <w:szCs w:val="20"/>
        </w:rPr>
        <w:t>Inflation as measured by the consumer price index reflects the annual percentage change in the cost to the average consumer of acquiring a basket of goods and services that may be fixed or changed at specified intervals, such as yearly.” The Laspeyres formula is generally used to construct the index</w:t>
      </w:r>
      <w:r w:rsidRPr="00851813">
        <w:rPr>
          <w:rFonts w:cs="Times New Roman"/>
          <w:sz w:val="20"/>
          <w:szCs w:val="20"/>
        </w:rPr>
        <w:t>”. Inflation is also expected to be positively related to inflow of FDI. In fact, FDI inflow will be high when there is high inflation.</w:t>
      </w:r>
    </w:p>
    <w:p w:rsidR="00283C2A" w:rsidRPr="00851813" w:rsidRDefault="00A424C2" w:rsidP="008A21D8">
      <w:pPr>
        <w:spacing w:after="0" w:line="240" w:lineRule="auto"/>
        <w:ind w:firstLine="720"/>
        <w:rPr>
          <w:rFonts w:cs="Times New Roman"/>
          <w:sz w:val="20"/>
          <w:szCs w:val="20"/>
        </w:rPr>
      </w:pPr>
      <w:r w:rsidRPr="00851813">
        <w:rPr>
          <w:rFonts w:cs="Times New Roman"/>
          <w:b/>
          <w:bCs/>
          <w:sz w:val="20"/>
          <w:szCs w:val="20"/>
        </w:rPr>
        <w:t>Tax revenue (% of GDP)</w:t>
      </w:r>
      <w:r w:rsidRPr="00851813">
        <w:rPr>
          <w:rFonts w:cs="Times New Roman"/>
          <w:bCs/>
          <w:sz w:val="20"/>
          <w:szCs w:val="20"/>
        </w:rPr>
        <w:t>:  According to World Bank, “</w:t>
      </w:r>
      <w:r w:rsidRPr="00851813">
        <w:rPr>
          <w:rFonts w:cs="Times New Roman"/>
          <w:bCs/>
          <w:i/>
          <w:sz w:val="20"/>
          <w:szCs w:val="20"/>
        </w:rPr>
        <w:t xml:space="preserve">The </w:t>
      </w:r>
      <w:r w:rsidRPr="00851813">
        <w:rPr>
          <w:rFonts w:cs="Times New Roman"/>
          <w:i/>
          <w:sz w:val="20"/>
          <w:szCs w:val="20"/>
        </w:rPr>
        <w:t xml:space="preserve">Tax revenue </w:t>
      </w:r>
      <w:r w:rsidRPr="00851813">
        <w:rPr>
          <w:rFonts w:cs="Times New Roman"/>
          <w:bCs/>
          <w:i/>
          <w:sz w:val="20"/>
          <w:szCs w:val="20"/>
        </w:rPr>
        <w:t>refers</w:t>
      </w:r>
      <w:r w:rsidRPr="00851813">
        <w:rPr>
          <w:rFonts w:cs="Times New Roman"/>
          <w:i/>
          <w:sz w:val="20"/>
          <w:szCs w:val="20"/>
        </w:rPr>
        <w:t xml:space="preserve"> to compulsor transfers to the central government for public purposes. Certain compulsory transfers such as fines, penalties, and most social security contributions are excluded. Refunds and corrections of erroneously collected tax revenue are treated as negative revenue</w:t>
      </w:r>
      <w:r w:rsidRPr="00851813">
        <w:rPr>
          <w:rFonts w:cs="Times New Roman"/>
          <w:sz w:val="20"/>
          <w:szCs w:val="20"/>
        </w:rPr>
        <w:t>”. If tax rate is high then FDI inflow will be low, as because foreign firms will be less interested to invest in a country with high level of tax rate.</w:t>
      </w:r>
    </w:p>
    <w:p w:rsidR="008A11F4" w:rsidRPr="00851813" w:rsidRDefault="00A424C2" w:rsidP="008A21D8">
      <w:pPr>
        <w:spacing w:after="0" w:line="240" w:lineRule="auto"/>
        <w:ind w:firstLine="720"/>
        <w:rPr>
          <w:rFonts w:cs="Times New Roman"/>
          <w:sz w:val="20"/>
          <w:szCs w:val="20"/>
        </w:rPr>
      </w:pPr>
      <w:r w:rsidRPr="00851813">
        <w:rPr>
          <w:rFonts w:cs="Times New Roman"/>
          <w:b/>
          <w:sz w:val="20"/>
          <w:szCs w:val="20"/>
        </w:rPr>
        <w:t>Time spent</w:t>
      </w:r>
      <w:r w:rsidR="00F817E8" w:rsidRPr="00851813">
        <w:rPr>
          <w:rFonts w:cs="Times New Roman"/>
          <w:b/>
          <w:sz w:val="20"/>
          <w:szCs w:val="20"/>
        </w:rPr>
        <w:t xml:space="preserve"> on </w:t>
      </w:r>
      <w:r w:rsidRPr="00851813">
        <w:rPr>
          <w:rFonts w:cs="Times New Roman"/>
          <w:b/>
          <w:sz w:val="20"/>
          <w:szCs w:val="20"/>
        </w:rPr>
        <w:t>dealing with the requirements of government regulations (% of senior management time)</w:t>
      </w:r>
      <w:r w:rsidRPr="00851813">
        <w:rPr>
          <w:rFonts w:cs="Times New Roman"/>
          <w:sz w:val="20"/>
          <w:szCs w:val="20"/>
        </w:rPr>
        <w:t>:  According to World Bank “</w:t>
      </w:r>
      <w:r w:rsidRPr="00851813">
        <w:rPr>
          <w:rFonts w:cs="Times New Roman"/>
          <w:i/>
          <w:sz w:val="20"/>
          <w:szCs w:val="20"/>
        </w:rPr>
        <w:t>Time spent dealing with the requirements of government regulations is the proportion of senior management's time, in a typical week, that is spent dealing with the requirements imposed by government regulations (e.g., taxes, customs, labor regulations, licensing and registration, including dealings with officials, and completing forms).</w:t>
      </w:r>
      <w:r w:rsidRPr="00851813">
        <w:rPr>
          <w:rFonts w:cs="Times New Roman"/>
          <w:sz w:val="20"/>
          <w:szCs w:val="20"/>
        </w:rPr>
        <w:t>” The more time spend on government regulation will also allow a country to attract FDI. Therefore, government regulation is also expected to be positively related with FDI.</w:t>
      </w:r>
    </w:p>
    <w:p w:rsidR="008A21D8" w:rsidRDefault="009562F0" w:rsidP="008A21D8">
      <w:pPr>
        <w:pStyle w:val="ListParagraph"/>
        <w:spacing w:after="0" w:line="240" w:lineRule="auto"/>
        <w:ind w:left="0" w:firstLine="720"/>
        <w:rPr>
          <w:rFonts w:cs="Times New Roman"/>
          <w:color w:val="000000" w:themeColor="text1"/>
          <w:sz w:val="20"/>
          <w:szCs w:val="20"/>
        </w:rPr>
      </w:pPr>
      <w:r w:rsidRPr="00851813">
        <w:rPr>
          <w:rFonts w:cs="Times New Roman"/>
          <w:sz w:val="20"/>
          <w:szCs w:val="20"/>
        </w:rPr>
        <w:lastRenderedPageBreak/>
        <w:t>The data for the above variables are collected from the World Bank website from the period 2005 to 2015. The analysis to find</w:t>
      </w:r>
      <w:r w:rsidR="00FE2C72" w:rsidRPr="00851813">
        <w:rPr>
          <w:rFonts w:cs="Times New Roman"/>
          <w:sz w:val="20"/>
          <w:szCs w:val="20"/>
        </w:rPr>
        <w:t xml:space="preserve"> </w:t>
      </w:r>
      <w:r w:rsidR="00283C2A" w:rsidRPr="00851813">
        <w:rPr>
          <w:rFonts w:cs="Times New Roman"/>
          <w:sz w:val="20"/>
          <w:szCs w:val="20"/>
        </w:rPr>
        <w:t>the most</w:t>
      </w:r>
      <w:r w:rsidRPr="00851813">
        <w:rPr>
          <w:rFonts w:cs="Times New Roman"/>
          <w:sz w:val="20"/>
          <w:szCs w:val="20"/>
        </w:rPr>
        <w:t xml:space="preserve"> significant factor that affect the inflow of FDI is done by using generalised least square techniques</w:t>
      </w:r>
      <w:r w:rsidR="008329B8" w:rsidRPr="00851813">
        <w:rPr>
          <w:rStyle w:val="FootnoteReference"/>
          <w:rFonts w:cs="Times New Roman"/>
          <w:sz w:val="20"/>
          <w:szCs w:val="20"/>
        </w:rPr>
        <w:footnoteReference w:id="2"/>
      </w:r>
      <w:r w:rsidR="00FE2C72" w:rsidRPr="00851813">
        <w:rPr>
          <w:rFonts w:cs="Times New Roman"/>
          <w:sz w:val="20"/>
          <w:szCs w:val="20"/>
        </w:rPr>
        <w:t xml:space="preserve">. </w:t>
      </w:r>
      <w:r w:rsidR="008329B8" w:rsidRPr="00851813">
        <w:rPr>
          <w:rFonts w:cs="Times New Roman"/>
          <w:color w:val="000000" w:themeColor="text1"/>
          <w:sz w:val="20"/>
          <w:szCs w:val="20"/>
        </w:rPr>
        <w:t>See</w:t>
      </w:r>
      <w:r w:rsidR="00FE2C72" w:rsidRPr="00851813">
        <w:rPr>
          <w:rFonts w:cs="Times New Roman"/>
          <w:color w:val="000000" w:themeColor="text1"/>
          <w:sz w:val="20"/>
          <w:szCs w:val="20"/>
        </w:rPr>
        <w:t xml:space="preserve"> papers by Cascetta (1984), Griffith(1998), Heckman (197</w:t>
      </w:r>
      <w:r w:rsidR="008329B8" w:rsidRPr="00851813">
        <w:rPr>
          <w:rFonts w:cs="Times New Roman"/>
          <w:color w:val="000000" w:themeColor="text1"/>
          <w:sz w:val="20"/>
          <w:szCs w:val="20"/>
        </w:rPr>
        <w:t>6) for details</w:t>
      </w:r>
      <w:r w:rsidR="00FE2C72" w:rsidRPr="00851813">
        <w:rPr>
          <w:rFonts w:cs="Times New Roman"/>
          <w:color w:val="000000" w:themeColor="text1"/>
          <w:sz w:val="20"/>
          <w:szCs w:val="20"/>
        </w:rPr>
        <w:t>.</w:t>
      </w:r>
    </w:p>
    <w:p w:rsidR="00FE2C72" w:rsidRPr="00851813" w:rsidRDefault="00FE2C72" w:rsidP="008A21D8">
      <w:pPr>
        <w:pStyle w:val="ListParagraph"/>
        <w:spacing w:after="0" w:line="240" w:lineRule="auto"/>
        <w:ind w:left="0" w:firstLine="720"/>
        <w:rPr>
          <w:rFonts w:cs="Times New Roman"/>
          <w:color w:val="000000" w:themeColor="text1"/>
          <w:sz w:val="20"/>
          <w:szCs w:val="20"/>
        </w:rPr>
      </w:pPr>
      <w:r w:rsidRPr="00851813">
        <w:rPr>
          <w:rFonts w:cs="Times New Roman"/>
          <w:color w:val="000000" w:themeColor="text1"/>
          <w:sz w:val="20"/>
          <w:szCs w:val="20"/>
        </w:rPr>
        <w:t>The regression is based on the following model</w:t>
      </w:r>
    </w:p>
    <w:p w:rsidR="00FE2C72" w:rsidRPr="00851813" w:rsidRDefault="00F679E5" w:rsidP="00DB6CFA">
      <w:pPr>
        <w:spacing w:after="0" w:line="240" w:lineRule="auto"/>
        <w:rPr>
          <w:rFonts w:cs="Times New Roman"/>
          <w:color w:val="000000" w:themeColor="text1"/>
          <w:sz w:val="20"/>
          <w:szCs w:val="20"/>
        </w:rPr>
      </w:pPr>
      <m:oMathPara>
        <m:oMath>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FDI</m:t>
              </m:r>
            </m:e>
            <m:sub>
              <m:r>
                <w:rPr>
                  <w:rFonts w:ascii="Cambria Math" w:hAnsi="Cambria Math" w:cs="Times New Roman"/>
                  <w:color w:val="000000" w:themeColor="text1"/>
                  <w:sz w:val="20"/>
                  <w:szCs w:val="20"/>
                </w:rPr>
                <m:t>t</m:t>
              </m:r>
            </m:sub>
          </m:sSub>
          <m:r>
            <w:rPr>
              <w:rFonts w:ascii="Cambria Math" w:cs="Times New Roman"/>
              <w:color w:val="000000" w:themeColor="text1"/>
              <w:sz w:val="20"/>
              <w:szCs w:val="20"/>
            </w:rPr>
            <m:t>=</m:t>
          </m:r>
          <m:r>
            <w:rPr>
              <w:rFonts w:ascii="Cambria Math" w:hAnsi="Cambria Math" w:cs="Times New Roman"/>
              <w:color w:val="000000" w:themeColor="text1"/>
              <w:sz w:val="20"/>
              <w:szCs w:val="20"/>
            </w:rPr>
            <m:t>α</m:t>
          </m:r>
          <m:r>
            <w:rPr>
              <w:rFonts w:ascii="Cambria Math" w:cs="Times New Roman"/>
              <w:color w:val="000000" w:themeColor="text1"/>
              <w:sz w:val="20"/>
              <w:szCs w:val="20"/>
            </w:rPr>
            <m:t>+</m:t>
          </m:r>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β</m:t>
              </m:r>
            </m:e>
            <m:sub>
              <m:r>
                <w:rPr>
                  <w:rFonts w:ascii="Cambria Math" w:cs="Times New Roman"/>
                  <w:color w:val="000000" w:themeColor="text1"/>
                  <w:sz w:val="20"/>
                  <w:szCs w:val="20"/>
                </w:rPr>
                <m:t>1</m:t>
              </m:r>
            </m:sub>
          </m:sSub>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GDP</m:t>
              </m:r>
            </m:e>
            <m:sub>
              <m:r>
                <w:rPr>
                  <w:rFonts w:ascii="Cambria Math" w:hAnsi="Cambria Math" w:cs="Times New Roman"/>
                  <w:color w:val="000000" w:themeColor="text1"/>
                  <w:sz w:val="20"/>
                  <w:szCs w:val="20"/>
                </w:rPr>
                <m:t>t</m:t>
              </m:r>
            </m:sub>
          </m:sSub>
          <m:r>
            <w:rPr>
              <w:rFonts w:ascii="Cambria Math" w:cs="Times New Roman"/>
              <w:color w:val="000000" w:themeColor="text1"/>
              <w:sz w:val="20"/>
              <w:szCs w:val="20"/>
            </w:rPr>
            <m:t>+</m:t>
          </m:r>
          <m:sSub>
            <m:sSubPr>
              <m:ctrlPr>
                <w:rPr>
                  <w:rFonts w:ascii="Cambria Math" w:hAnsi="Cambria Math" w:cs="Times New Roman"/>
                  <w:i/>
                  <w:color w:val="000000" w:themeColor="text1"/>
                  <w:sz w:val="20"/>
                  <w:szCs w:val="20"/>
                </w:rPr>
              </m:ctrlPr>
            </m:sSubPr>
            <m:e>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β</m:t>
                  </m:r>
                </m:e>
                <m:sub>
                  <m:r>
                    <w:rPr>
                      <w:rFonts w:ascii="Cambria Math" w:cs="Times New Roman"/>
                      <w:color w:val="000000" w:themeColor="text1"/>
                      <w:sz w:val="20"/>
                      <w:szCs w:val="20"/>
                    </w:rPr>
                    <m:t>2</m:t>
                  </m:r>
                </m:sub>
              </m:sSub>
              <m:r>
                <w:rPr>
                  <w:rFonts w:ascii="Cambria Math" w:hAnsi="Cambria Math" w:cs="Times New Roman"/>
                  <w:color w:val="000000" w:themeColor="text1"/>
                  <w:sz w:val="20"/>
                  <w:szCs w:val="20"/>
                </w:rPr>
                <m:t>INF</m:t>
              </m:r>
            </m:e>
            <m:sub>
              <m:r>
                <w:rPr>
                  <w:rFonts w:ascii="Cambria Math" w:hAnsi="Cambria Math" w:cs="Times New Roman"/>
                  <w:color w:val="000000" w:themeColor="text1"/>
                  <w:sz w:val="20"/>
                  <w:szCs w:val="20"/>
                </w:rPr>
                <m:t>t</m:t>
              </m:r>
            </m:sub>
          </m:sSub>
          <m:r>
            <w:rPr>
              <w:rFonts w:ascii="Cambria Math" w:cs="Times New Roman"/>
              <w:color w:val="000000" w:themeColor="text1"/>
              <w:sz w:val="20"/>
              <w:szCs w:val="20"/>
            </w:rPr>
            <m:t xml:space="preserve">+ </m:t>
          </m:r>
          <m:sSub>
            <m:sSubPr>
              <m:ctrlPr>
                <w:rPr>
                  <w:rFonts w:ascii="Cambria Math" w:hAnsi="Cambria Math" w:cs="Times New Roman"/>
                  <w:i/>
                  <w:color w:val="000000" w:themeColor="text1"/>
                  <w:sz w:val="20"/>
                  <w:szCs w:val="20"/>
                </w:rPr>
              </m:ctrlPr>
            </m:sSubPr>
            <m:e>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β</m:t>
                  </m:r>
                </m:e>
                <m:sub>
                  <m:r>
                    <w:rPr>
                      <w:rFonts w:ascii="Cambria Math" w:cs="Times New Roman"/>
                      <w:color w:val="000000" w:themeColor="text1"/>
                      <w:sz w:val="20"/>
                      <w:szCs w:val="20"/>
                    </w:rPr>
                    <m:t>3</m:t>
                  </m:r>
                </m:sub>
              </m:sSub>
              <m:r>
                <w:rPr>
                  <w:rFonts w:ascii="Cambria Math" w:hAnsi="Cambria Math" w:cs="Times New Roman"/>
                  <w:color w:val="000000" w:themeColor="text1"/>
                  <w:sz w:val="20"/>
                  <w:szCs w:val="20"/>
                </w:rPr>
                <m:t>Tax</m:t>
              </m:r>
            </m:e>
            <m:sub>
              <m:r>
                <w:rPr>
                  <w:rFonts w:ascii="Cambria Math" w:hAnsi="Cambria Math" w:cs="Times New Roman"/>
                  <w:color w:val="000000" w:themeColor="text1"/>
                  <w:sz w:val="20"/>
                  <w:szCs w:val="20"/>
                </w:rPr>
                <m:t>t</m:t>
              </m:r>
            </m:sub>
          </m:sSub>
          <m:r>
            <w:rPr>
              <w:rFonts w:ascii="Cambria Math" w:cs="Times New Roman"/>
              <w:color w:val="000000" w:themeColor="text1"/>
              <w:sz w:val="20"/>
              <w:szCs w:val="20"/>
            </w:rPr>
            <m:t>+</m:t>
          </m:r>
          <m:sSub>
            <m:sSubPr>
              <m:ctrlPr>
                <w:rPr>
                  <w:rFonts w:ascii="Cambria Math" w:hAnsi="Cambria Math" w:cs="Times New Roman"/>
                  <w:i/>
                  <w:color w:val="000000" w:themeColor="text1"/>
                  <w:sz w:val="20"/>
                  <w:szCs w:val="20"/>
                </w:rPr>
              </m:ctrlPr>
            </m:sSubPr>
            <m:e>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β</m:t>
                  </m:r>
                </m:e>
                <m:sub>
                  <m:r>
                    <w:rPr>
                      <w:rFonts w:ascii="Cambria Math" w:cs="Times New Roman"/>
                      <w:color w:val="000000" w:themeColor="text1"/>
                      <w:sz w:val="20"/>
                      <w:szCs w:val="20"/>
                    </w:rPr>
                    <m:t>4</m:t>
                  </m:r>
                </m:sub>
              </m:sSub>
              <m:r>
                <w:rPr>
                  <w:rFonts w:ascii="Cambria Math" w:hAnsi="Cambria Math" w:cs="Times New Roman"/>
                  <w:color w:val="000000" w:themeColor="text1"/>
                  <w:sz w:val="20"/>
                  <w:szCs w:val="20"/>
                </w:rPr>
                <m:t>Time</m:t>
              </m:r>
            </m:e>
            <m:sub>
              <m:r>
                <w:rPr>
                  <w:rFonts w:ascii="Cambria Math" w:hAnsi="Cambria Math" w:cs="Times New Roman"/>
                  <w:color w:val="000000" w:themeColor="text1"/>
                  <w:sz w:val="20"/>
                  <w:szCs w:val="20"/>
                </w:rPr>
                <m:t>t</m:t>
              </m:r>
            </m:sub>
          </m:sSub>
          <m:r>
            <w:rPr>
              <w:rFonts w:ascii="Cambria Math" w:cs="Times New Roman"/>
              <w:color w:val="000000" w:themeColor="text1"/>
              <w:sz w:val="20"/>
              <w:szCs w:val="20"/>
            </w:rPr>
            <m:t>+</m:t>
          </m:r>
          <m:sSub>
            <m:sSubPr>
              <m:ctrlPr>
                <w:rPr>
                  <w:rFonts w:ascii="Cambria Math" w:hAnsi="Cambria Math" w:cs="Times New Roman"/>
                  <w:i/>
                  <w:color w:val="000000" w:themeColor="text1"/>
                  <w:sz w:val="20"/>
                  <w:szCs w:val="20"/>
                </w:rPr>
              </m:ctrlPr>
            </m:sSubPr>
            <m:e>
              <m:r>
                <w:rPr>
                  <w:rFonts w:ascii="Cambria Math" w:cs="Times New Roman"/>
                  <w:color w:val="000000" w:themeColor="text1"/>
                  <w:sz w:val="20"/>
                  <w:szCs w:val="20"/>
                </w:rPr>
                <m:t>€</m:t>
              </m:r>
            </m:e>
            <m:sub>
              <m:r>
                <w:rPr>
                  <w:rFonts w:ascii="Cambria Math" w:hAnsi="Cambria Math" w:cs="Times New Roman"/>
                  <w:color w:val="000000" w:themeColor="text1"/>
                  <w:sz w:val="20"/>
                  <w:szCs w:val="20"/>
                </w:rPr>
                <m:t>t</m:t>
              </m:r>
            </m:sub>
          </m:sSub>
        </m:oMath>
      </m:oMathPara>
    </w:p>
    <w:p w:rsidR="008329B8" w:rsidRPr="00851813" w:rsidRDefault="00FE2C72" w:rsidP="00DB6CFA">
      <w:pPr>
        <w:spacing w:after="0" w:line="240" w:lineRule="auto"/>
        <w:rPr>
          <w:rFonts w:cs="Times New Roman"/>
          <w:color w:val="000000" w:themeColor="text1"/>
          <w:sz w:val="20"/>
          <w:szCs w:val="20"/>
        </w:rPr>
      </w:pPr>
      <w:r w:rsidRPr="00851813">
        <w:rPr>
          <w:rFonts w:cs="Times New Roman"/>
          <w:color w:val="000000" w:themeColor="text1"/>
          <w:sz w:val="20"/>
          <w:szCs w:val="20"/>
        </w:rPr>
        <w:t>Where,</w:t>
      </w:r>
    </w:p>
    <w:p w:rsidR="00FE2C72" w:rsidRPr="00851813" w:rsidRDefault="00FE2C72" w:rsidP="00DB6CFA">
      <w:pPr>
        <w:spacing w:after="0" w:line="240" w:lineRule="auto"/>
        <w:rPr>
          <w:rFonts w:cs="Times New Roman"/>
          <w:color w:val="000000" w:themeColor="text1"/>
          <w:sz w:val="20"/>
          <w:szCs w:val="20"/>
        </w:rPr>
      </w:pPr>
      <w:r w:rsidRPr="00851813">
        <w:rPr>
          <w:rFonts w:cs="Times New Roman"/>
          <w:color w:val="000000" w:themeColor="text1"/>
          <w:sz w:val="20"/>
          <w:szCs w:val="20"/>
        </w:rPr>
        <w:t xml:space="preserve"> </w:t>
      </w:r>
      <m:oMath>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FDI</m:t>
            </m:r>
          </m:e>
          <m:sub>
            <m:r>
              <w:rPr>
                <w:rFonts w:ascii="Cambria Math" w:hAnsi="Cambria Math" w:cs="Times New Roman"/>
                <w:color w:val="000000" w:themeColor="text1"/>
                <w:sz w:val="20"/>
                <w:szCs w:val="20"/>
              </w:rPr>
              <m:t>t</m:t>
            </m:r>
          </m:sub>
        </m:sSub>
        <m:r>
          <w:rPr>
            <w:rFonts w:ascii="Cambria Math" w:cs="Times New Roman"/>
            <w:color w:val="000000" w:themeColor="text1"/>
            <w:sz w:val="20"/>
            <w:szCs w:val="20"/>
          </w:rPr>
          <m:t>=</m:t>
        </m:r>
        <m:r>
          <w:rPr>
            <w:rFonts w:ascii="Cambria Math" w:hAnsi="Cambria Math" w:cs="Times New Roman"/>
            <w:color w:val="000000" w:themeColor="text1"/>
            <w:sz w:val="20"/>
            <w:szCs w:val="20"/>
          </w:rPr>
          <m:t>Inflow</m:t>
        </m:r>
        <m:r>
          <w:rPr>
            <w:rFonts w:ascii="Cambria Math" w:cs="Times New Roman"/>
            <w:color w:val="000000" w:themeColor="text1"/>
            <w:sz w:val="20"/>
            <w:szCs w:val="20"/>
          </w:rPr>
          <m:t xml:space="preserve"> </m:t>
        </m:r>
        <m:r>
          <w:rPr>
            <w:rFonts w:ascii="Cambria Math" w:hAnsi="Cambria Math" w:cs="Times New Roman"/>
            <w:color w:val="000000" w:themeColor="text1"/>
            <w:sz w:val="20"/>
            <w:szCs w:val="20"/>
          </w:rPr>
          <m:t>of</m:t>
        </m:r>
        <m:r>
          <w:rPr>
            <w:rFonts w:ascii="Cambria Math" w:cs="Times New Roman"/>
            <w:color w:val="000000" w:themeColor="text1"/>
            <w:sz w:val="20"/>
            <w:szCs w:val="20"/>
          </w:rPr>
          <m:t xml:space="preserve"> </m:t>
        </m:r>
        <m:r>
          <w:rPr>
            <w:rFonts w:ascii="Cambria Math" w:hAnsi="Cambria Math" w:cs="Times New Roman"/>
            <w:color w:val="000000" w:themeColor="text1"/>
            <w:sz w:val="20"/>
            <w:szCs w:val="20"/>
          </w:rPr>
          <m:t>Foreign</m:t>
        </m:r>
        <m:r>
          <w:rPr>
            <w:rFonts w:ascii="Cambria Math" w:cs="Times New Roman"/>
            <w:color w:val="000000" w:themeColor="text1"/>
            <w:sz w:val="20"/>
            <w:szCs w:val="20"/>
          </w:rPr>
          <m:t xml:space="preserve"> </m:t>
        </m:r>
        <m:r>
          <w:rPr>
            <w:rFonts w:ascii="Cambria Math" w:hAnsi="Cambria Math" w:cs="Times New Roman"/>
            <w:color w:val="000000" w:themeColor="text1"/>
            <w:sz w:val="20"/>
            <w:szCs w:val="20"/>
          </w:rPr>
          <m:t>Direct</m:t>
        </m:r>
        <m:r>
          <w:rPr>
            <w:rFonts w:ascii="Cambria Math" w:cs="Times New Roman"/>
            <w:color w:val="000000" w:themeColor="text1"/>
            <w:sz w:val="20"/>
            <w:szCs w:val="20"/>
          </w:rPr>
          <m:t xml:space="preserve"> </m:t>
        </m:r>
        <m:r>
          <w:rPr>
            <w:rFonts w:ascii="Cambria Math" w:hAnsi="Cambria Math" w:cs="Times New Roman"/>
            <w:color w:val="000000" w:themeColor="text1"/>
            <w:sz w:val="20"/>
            <w:szCs w:val="20"/>
          </w:rPr>
          <m:t>Investment</m:t>
        </m:r>
        <m:r>
          <w:rPr>
            <w:rFonts w:ascii="Cambria Math" w:cs="Times New Roman"/>
            <w:color w:val="000000" w:themeColor="text1"/>
            <w:sz w:val="20"/>
            <w:szCs w:val="20"/>
          </w:rPr>
          <m:t xml:space="preserve"> </m:t>
        </m:r>
        <m:r>
          <w:rPr>
            <w:rFonts w:ascii="Cambria Math" w:hAnsi="Cambria Math" w:cs="Times New Roman"/>
            <w:color w:val="000000" w:themeColor="text1"/>
            <w:sz w:val="20"/>
            <w:szCs w:val="20"/>
          </w:rPr>
          <m:t>in</m:t>
        </m:r>
        <m:r>
          <w:rPr>
            <w:rFonts w:ascii="Cambria Math" w:cs="Times New Roman"/>
            <w:color w:val="000000" w:themeColor="text1"/>
            <w:sz w:val="20"/>
            <w:szCs w:val="20"/>
          </w:rPr>
          <m:t xml:space="preserve"> </m:t>
        </m:r>
        <m:r>
          <w:rPr>
            <w:rFonts w:ascii="Cambria Math" w:hAnsi="Cambria Math" w:cs="Times New Roman"/>
            <w:color w:val="000000" w:themeColor="text1"/>
            <w:sz w:val="20"/>
            <w:szCs w:val="20"/>
          </w:rPr>
          <m:t>Malaysia</m:t>
        </m:r>
        <m:r>
          <w:rPr>
            <w:rFonts w:ascii="Cambria Math" w:cs="Times New Roman"/>
            <w:color w:val="000000" w:themeColor="text1"/>
            <w:sz w:val="20"/>
            <w:szCs w:val="20"/>
          </w:rPr>
          <m:t xml:space="preserve"> </m:t>
        </m:r>
        <m:r>
          <w:rPr>
            <w:rFonts w:ascii="Cambria Math" w:hAnsi="Cambria Math" w:cs="Times New Roman"/>
            <w:color w:val="000000" w:themeColor="text1"/>
            <w:sz w:val="20"/>
            <w:szCs w:val="20"/>
          </w:rPr>
          <m:t>over</m:t>
        </m:r>
        <m:r>
          <w:rPr>
            <w:rFonts w:ascii="Cambria Math" w:cs="Times New Roman"/>
            <w:color w:val="000000" w:themeColor="text1"/>
            <w:sz w:val="20"/>
            <w:szCs w:val="20"/>
          </w:rPr>
          <m:t xml:space="preserve"> 2001</m:t>
        </m:r>
        <m:r>
          <w:rPr>
            <w:rFonts w:ascii="Cambria Math" w:cs="Times New Roman"/>
            <w:color w:val="000000" w:themeColor="text1"/>
            <w:sz w:val="20"/>
            <w:szCs w:val="20"/>
          </w:rPr>
          <m:t>-</m:t>
        </m:r>
        <m:r>
          <w:rPr>
            <w:rFonts w:ascii="Cambria Math" w:cs="Times New Roman"/>
            <w:color w:val="000000" w:themeColor="text1"/>
            <w:sz w:val="20"/>
            <w:szCs w:val="20"/>
          </w:rPr>
          <m:t>2015</m:t>
        </m:r>
      </m:oMath>
    </w:p>
    <w:p w:rsidR="00FE2C72" w:rsidRPr="00851813" w:rsidRDefault="00F679E5" w:rsidP="00DB6CFA">
      <w:pPr>
        <w:spacing w:after="0" w:line="240" w:lineRule="auto"/>
        <w:rPr>
          <w:rFonts w:cs="Times New Roman"/>
          <w:color w:val="000000" w:themeColor="text1"/>
          <w:sz w:val="20"/>
          <w:szCs w:val="20"/>
        </w:rPr>
      </w:pPr>
      <m:oMathPara>
        <m:oMathParaPr>
          <m:jc m:val="left"/>
        </m:oMathParaPr>
        <m:oMath>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GDP</m:t>
              </m:r>
            </m:e>
            <m:sub>
              <m:r>
                <w:rPr>
                  <w:rFonts w:ascii="Cambria Math" w:hAnsi="Cambria Math" w:cs="Times New Roman"/>
                  <w:color w:val="000000" w:themeColor="text1"/>
                  <w:sz w:val="20"/>
                  <w:szCs w:val="20"/>
                </w:rPr>
                <m:t>t</m:t>
              </m:r>
            </m:sub>
          </m:sSub>
          <m:r>
            <w:rPr>
              <w:rFonts w:ascii="Cambria Math" w:cs="Times New Roman"/>
              <w:color w:val="000000" w:themeColor="text1"/>
              <w:sz w:val="20"/>
              <w:szCs w:val="20"/>
            </w:rPr>
            <m:t>=</m:t>
          </m:r>
          <m:r>
            <w:rPr>
              <w:rFonts w:ascii="Cambria Math" w:hAnsi="Cambria Math" w:cs="Times New Roman"/>
              <w:color w:val="000000" w:themeColor="text1"/>
              <w:sz w:val="20"/>
              <w:szCs w:val="20"/>
            </w:rPr>
            <m:t>Growt</m:t>
          </m:r>
          <m:r>
            <w:rPr>
              <w:rFonts w:hAnsi="Cambria Math" w:cs="Times New Roman"/>
              <w:color w:val="000000" w:themeColor="text1"/>
              <w:sz w:val="20"/>
              <w:szCs w:val="20"/>
            </w:rPr>
            <m:t>h</m:t>
          </m:r>
          <m:r>
            <w:rPr>
              <w:rFonts w:ascii="Cambria Math" w:cs="Times New Roman"/>
              <w:color w:val="000000" w:themeColor="text1"/>
              <w:sz w:val="20"/>
              <w:szCs w:val="20"/>
            </w:rPr>
            <m:t xml:space="preserve"> </m:t>
          </m:r>
          <m:r>
            <w:rPr>
              <w:rFonts w:ascii="Cambria Math" w:hAnsi="Cambria Math" w:cs="Times New Roman"/>
              <w:color w:val="000000" w:themeColor="text1"/>
              <w:sz w:val="20"/>
              <w:szCs w:val="20"/>
            </w:rPr>
            <m:t>Rate</m:t>
          </m:r>
          <m:r>
            <w:rPr>
              <w:rFonts w:ascii="Cambria Math" w:cs="Times New Roman"/>
              <w:color w:val="000000" w:themeColor="text1"/>
              <w:sz w:val="20"/>
              <w:szCs w:val="20"/>
            </w:rPr>
            <m:t xml:space="preserve"> </m:t>
          </m:r>
          <m:r>
            <w:rPr>
              <w:rFonts w:ascii="Cambria Math" w:hAnsi="Cambria Math" w:cs="Times New Roman"/>
              <w:color w:val="000000" w:themeColor="text1"/>
              <w:sz w:val="20"/>
              <w:szCs w:val="20"/>
            </w:rPr>
            <m:t>of</m:t>
          </m:r>
          <m:r>
            <w:rPr>
              <w:rFonts w:ascii="Cambria Math" w:cs="Times New Roman"/>
              <w:color w:val="000000" w:themeColor="text1"/>
              <w:sz w:val="20"/>
              <w:szCs w:val="20"/>
            </w:rPr>
            <m:t xml:space="preserve"> </m:t>
          </m:r>
          <m:r>
            <w:rPr>
              <w:rFonts w:ascii="Cambria Math" w:hAnsi="Cambria Math" w:cs="Times New Roman"/>
              <w:color w:val="000000" w:themeColor="text1"/>
              <w:sz w:val="20"/>
              <w:szCs w:val="20"/>
            </w:rPr>
            <m:t>GDP</m:t>
          </m:r>
          <m:r>
            <w:rPr>
              <w:rFonts w:ascii="Cambria Math" w:cs="Times New Roman"/>
              <w:color w:val="000000" w:themeColor="text1"/>
              <w:sz w:val="20"/>
              <w:szCs w:val="20"/>
            </w:rPr>
            <m:t xml:space="preserve"> </m:t>
          </m:r>
          <m:r>
            <w:rPr>
              <w:rFonts w:ascii="Cambria Math" w:hAnsi="Cambria Math" w:cs="Times New Roman"/>
              <w:color w:val="000000" w:themeColor="text1"/>
              <w:sz w:val="20"/>
              <w:szCs w:val="20"/>
            </w:rPr>
            <m:t>over</m:t>
          </m:r>
          <m:r>
            <w:rPr>
              <w:rFonts w:ascii="Cambria Math" w:cs="Times New Roman"/>
              <w:color w:val="000000" w:themeColor="text1"/>
              <w:sz w:val="20"/>
              <w:szCs w:val="20"/>
            </w:rPr>
            <m:t xml:space="preserve"> 2000</m:t>
          </m:r>
          <m:r>
            <w:rPr>
              <w:rFonts w:ascii="Cambria Math" w:cs="Times New Roman"/>
              <w:color w:val="000000" w:themeColor="text1"/>
              <w:sz w:val="20"/>
              <w:szCs w:val="20"/>
            </w:rPr>
            <m:t>-</m:t>
          </m:r>
          <m:r>
            <w:rPr>
              <w:rFonts w:ascii="Cambria Math" w:cs="Times New Roman"/>
              <w:color w:val="000000" w:themeColor="text1"/>
              <w:sz w:val="20"/>
              <w:szCs w:val="20"/>
            </w:rPr>
            <m:t>2015</m:t>
          </m:r>
        </m:oMath>
      </m:oMathPara>
    </w:p>
    <w:p w:rsidR="00FE2C72" w:rsidRPr="00851813" w:rsidRDefault="00F679E5" w:rsidP="00DB6CFA">
      <w:pPr>
        <w:spacing w:after="0" w:line="240" w:lineRule="auto"/>
        <w:rPr>
          <w:rFonts w:cs="Times New Roman"/>
          <w:color w:val="000000" w:themeColor="text1"/>
          <w:sz w:val="20"/>
          <w:szCs w:val="20"/>
        </w:rPr>
      </w:pPr>
      <m:oMathPara>
        <m:oMathParaPr>
          <m:jc m:val="left"/>
        </m:oMathParaPr>
        <m:oMath>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INF</m:t>
              </m:r>
            </m:e>
            <m:sub>
              <m:r>
                <w:rPr>
                  <w:rFonts w:ascii="Cambria Math" w:hAnsi="Cambria Math" w:cs="Times New Roman"/>
                  <w:color w:val="000000" w:themeColor="text1"/>
                  <w:sz w:val="20"/>
                  <w:szCs w:val="20"/>
                </w:rPr>
                <m:t>t</m:t>
              </m:r>
            </m:sub>
          </m:sSub>
          <m:r>
            <w:rPr>
              <w:rFonts w:ascii="Cambria Math" w:cs="Times New Roman"/>
              <w:color w:val="000000" w:themeColor="text1"/>
              <w:sz w:val="20"/>
              <w:szCs w:val="20"/>
            </w:rPr>
            <m:t>=</m:t>
          </m:r>
          <m:r>
            <w:rPr>
              <w:rFonts w:ascii="Cambria Math" w:hAnsi="Cambria Math" w:cs="Times New Roman"/>
              <w:color w:val="000000" w:themeColor="text1"/>
              <w:sz w:val="20"/>
              <w:szCs w:val="20"/>
            </w:rPr>
            <m:t>Overall</m:t>
          </m:r>
          <m:r>
            <w:rPr>
              <w:rFonts w:ascii="Cambria Math" w:cs="Times New Roman"/>
              <w:color w:val="000000" w:themeColor="text1"/>
              <w:sz w:val="20"/>
              <w:szCs w:val="20"/>
            </w:rPr>
            <m:t xml:space="preserve"> </m:t>
          </m:r>
          <m:r>
            <w:rPr>
              <w:rFonts w:ascii="Cambria Math" w:hAnsi="Cambria Math" w:cs="Times New Roman"/>
              <w:color w:val="000000" w:themeColor="text1"/>
              <w:sz w:val="20"/>
              <w:szCs w:val="20"/>
            </w:rPr>
            <m:t>Inflation</m:t>
          </m:r>
          <m:r>
            <w:rPr>
              <w:rFonts w:ascii="Cambria Math" w:cs="Times New Roman"/>
              <w:color w:val="000000" w:themeColor="text1"/>
              <w:sz w:val="20"/>
              <w:szCs w:val="20"/>
            </w:rPr>
            <m:t xml:space="preserve"> </m:t>
          </m:r>
          <m:r>
            <w:rPr>
              <w:rFonts w:ascii="Cambria Math" w:hAnsi="Cambria Math" w:cs="Times New Roman"/>
              <w:color w:val="000000" w:themeColor="text1"/>
              <w:sz w:val="20"/>
              <w:szCs w:val="20"/>
            </w:rPr>
            <m:t>in</m:t>
          </m:r>
          <m:r>
            <w:rPr>
              <w:rFonts w:ascii="Cambria Math" w:cs="Times New Roman"/>
              <w:color w:val="000000" w:themeColor="text1"/>
              <w:sz w:val="20"/>
              <w:szCs w:val="20"/>
            </w:rPr>
            <m:t xml:space="preserve"> </m:t>
          </m:r>
          <m:r>
            <w:rPr>
              <w:rFonts w:ascii="Cambria Math" w:hAnsi="Cambria Math" w:cs="Times New Roman"/>
              <w:color w:val="000000" w:themeColor="text1"/>
              <w:sz w:val="20"/>
              <w:szCs w:val="20"/>
            </w:rPr>
            <m:t>Malaysia</m:t>
          </m:r>
          <m:r>
            <w:rPr>
              <w:rFonts w:ascii="Cambria Math" w:cs="Times New Roman"/>
              <w:color w:val="000000" w:themeColor="text1"/>
              <w:sz w:val="20"/>
              <w:szCs w:val="20"/>
            </w:rPr>
            <m:t xml:space="preserve"> 2001</m:t>
          </m:r>
          <m:r>
            <w:rPr>
              <w:rFonts w:ascii="Cambria Math" w:cs="Times New Roman"/>
              <w:color w:val="000000" w:themeColor="text1"/>
              <w:sz w:val="20"/>
              <w:szCs w:val="20"/>
            </w:rPr>
            <m:t>-</m:t>
          </m:r>
          <m:r>
            <w:rPr>
              <w:rFonts w:ascii="Cambria Math" w:cs="Times New Roman"/>
              <w:color w:val="000000" w:themeColor="text1"/>
              <w:sz w:val="20"/>
              <w:szCs w:val="20"/>
            </w:rPr>
            <m:t>2015</m:t>
          </m:r>
        </m:oMath>
      </m:oMathPara>
    </w:p>
    <w:p w:rsidR="00FE2C72" w:rsidRPr="00851813" w:rsidRDefault="00F679E5" w:rsidP="00DB6CFA">
      <w:pPr>
        <w:spacing w:after="0" w:line="240" w:lineRule="auto"/>
        <w:rPr>
          <w:rFonts w:cs="Times New Roman"/>
          <w:color w:val="000000" w:themeColor="text1"/>
          <w:sz w:val="20"/>
          <w:szCs w:val="20"/>
        </w:rPr>
      </w:pPr>
      <m:oMathPara>
        <m:oMathParaPr>
          <m:jc m:val="left"/>
        </m:oMathParaPr>
        <m:oMath>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Tax</m:t>
              </m:r>
            </m:e>
            <m:sub>
              <m:r>
                <w:rPr>
                  <w:rFonts w:ascii="Cambria Math" w:hAnsi="Cambria Math" w:cs="Times New Roman"/>
                  <w:color w:val="000000" w:themeColor="text1"/>
                  <w:sz w:val="20"/>
                  <w:szCs w:val="20"/>
                </w:rPr>
                <m:t>t</m:t>
              </m:r>
            </m:sub>
          </m:sSub>
          <m:r>
            <w:rPr>
              <w:rFonts w:ascii="Cambria Math" w:cs="Times New Roman"/>
              <w:color w:val="000000" w:themeColor="text1"/>
              <w:sz w:val="20"/>
              <w:szCs w:val="20"/>
            </w:rPr>
            <m:t>=</m:t>
          </m:r>
          <m:r>
            <w:rPr>
              <w:rFonts w:ascii="Cambria Math" w:hAnsi="Cambria Math" w:cs="Times New Roman"/>
              <w:color w:val="000000" w:themeColor="text1"/>
              <w:sz w:val="20"/>
              <w:szCs w:val="20"/>
            </w:rPr>
            <m:t>Overall</m:t>
          </m:r>
          <m:r>
            <w:rPr>
              <w:rFonts w:ascii="Cambria Math" w:cs="Times New Roman"/>
              <w:color w:val="000000" w:themeColor="text1"/>
              <w:sz w:val="20"/>
              <w:szCs w:val="20"/>
            </w:rPr>
            <m:t xml:space="preserve"> </m:t>
          </m:r>
          <m:r>
            <w:rPr>
              <w:rFonts w:ascii="Cambria Math" w:hAnsi="Cambria Math" w:cs="Times New Roman"/>
              <w:color w:val="000000" w:themeColor="text1"/>
              <w:sz w:val="20"/>
              <w:szCs w:val="20"/>
            </w:rPr>
            <m:t>Tax</m:t>
          </m:r>
          <m:r>
            <w:rPr>
              <w:rFonts w:ascii="Cambria Math" w:cs="Times New Roman"/>
              <w:color w:val="000000" w:themeColor="text1"/>
              <w:sz w:val="20"/>
              <w:szCs w:val="20"/>
            </w:rPr>
            <m:t xml:space="preserve"> </m:t>
          </m:r>
          <m:r>
            <w:rPr>
              <w:rFonts w:ascii="Cambria Math" w:hAnsi="Cambria Math" w:cs="Times New Roman"/>
              <w:color w:val="000000" w:themeColor="text1"/>
              <w:sz w:val="20"/>
              <w:szCs w:val="20"/>
            </w:rPr>
            <m:t>rate</m:t>
          </m:r>
          <m:r>
            <w:rPr>
              <w:rFonts w:ascii="Cambria Math" w:cs="Times New Roman"/>
              <w:color w:val="000000" w:themeColor="text1"/>
              <w:sz w:val="20"/>
              <w:szCs w:val="20"/>
            </w:rPr>
            <m:t xml:space="preserve"> </m:t>
          </m:r>
          <m:r>
            <w:rPr>
              <w:rFonts w:ascii="Cambria Math" w:hAnsi="Cambria Math" w:cs="Times New Roman"/>
              <w:color w:val="000000" w:themeColor="text1"/>
              <w:sz w:val="20"/>
              <w:szCs w:val="20"/>
            </w:rPr>
            <m:t>in</m:t>
          </m:r>
          <m:r>
            <w:rPr>
              <w:rFonts w:ascii="Cambria Math" w:cs="Times New Roman"/>
              <w:color w:val="000000" w:themeColor="text1"/>
              <w:sz w:val="20"/>
              <w:szCs w:val="20"/>
            </w:rPr>
            <m:t xml:space="preserve"> </m:t>
          </m:r>
          <m:r>
            <w:rPr>
              <w:rFonts w:ascii="Cambria Math" w:hAnsi="Cambria Math" w:cs="Times New Roman"/>
              <w:color w:val="000000" w:themeColor="text1"/>
              <w:sz w:val="20"/>
              <w:szCs w:val="20"/>
            </w:rPr>
            <m:t>Malaysia</m:t>
          </m:r>
          <m:r>
            <w:rPr>
              <w:rFonts w:ascii="Cambria Math" w:cs="Times New Roman"/>
              <w:color w:val="000000" w:themeColor="text1"/>
              <w:sz w:val="20"/>
              <w:szCs w:val="20"/>
            </w:rPr>
            <m:t xml:space="preserve"> </m:t>
          </m:r>
          <m:r>
            <w:rPr>
              <w:rFonts w:ascii="Cambria Math" w:hAnsi="Cambria Math" w:cs="Times New Roman"/>
              <w:color w:val="000000" w:themeColor="text1"/>
              <w:sz w:val="20"/>
              <w:szCs w:val="20"/>
            </w:rPr>
            <m:t>from</m:t>
          </m:r>
          <m:r>
            <w:rPr>
              <w:rFonts w:ascii="Cambria Math" w:cs="Times New Roman"/>
              <w:color w:val="000000" w:themeColor="text1"/>
              <w:sz w:val="20"/>
              <w:szCs w:val="20"/>
            </w:rPr>
            <m:t xml:space="preserve"> 2001</m:t>
          </m:r>
          <m:r>
            <w:rPr>
              <w:rFonts w:ascii="Cambria Math" w:cs="Times New Roman"/>
              <w:color w:val="000000" w:themeColor="text1"/>
              <w:sz w:val="20"/>
              <w:szCs w:val="20"/>
            </w:rPr>
            <m:t>-</m:t>
          </m:r>
          <m:r>
            <w:rPr>
              <w:rFonts w:ascii="Cambria Math" w:cs="Times New Roman"/>
              <w:color w:val="000000" w:themeColor="text1"/>
              <w:sz w:val="20"/>
              <w:szCs w:val="20"/>
            </w:rPr>
            <m:t>2015</m:t>
          </m:r>
        </m:oMath>
      </m:oMathPara>
    </w:p>
    <w:p w:rsidR="00FE2C72" w:rsidRPr="00851813" w:rsidRDefault="00F679E5" w:rsidP="00DB6CFA">
      <w:pPr>
        <w:spacing w:after="0" w:line="240" w:lineRule="auto"/>
        <w:rPr>
          <w:rFonts w:cs="Times New Roman"/>
          <w:color w:val="000000" w:themeColor="text1"/>
          <w:sz w:val="20"/>
          <w:szCs w:val="20"/>
        </w:rPr>
      </w:pPr>
      <m:oMathPara>
        <m:oMath>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Time</m:t>
              </m:r>
            </m:e>
            <m:sub>
              <m:r>
                <w:rPr>
                  <w:rFonts w:ascii="Cambria Math" w:hAnsi="Cambria Math" w:cs="Times New Roman"/>
                  <w:color w:val="000000" w:themeColor="text1"/>
                  <w:sz w:val="20"/>
                  <w:szCs w:val="20"/>
                </w:rPr>
                <m:t>t</m:t>
              </m:r>
            </m:sub>
          </m:sSub>
          <m:r>
            <w:rPr>
              <w:rFonts w:ascii="Cambria Math" w:cs="Times New Roman"/>
              <w:color w:val="000000" w:themeColor="text1"/>
              <w:sz w:val="20"/>
              <w:szCs w:val="20"/>
            </w:rPr>
            <m:t>=</m:t>
          </m:r>
          <m:r>
            <w:rPr>
              <w:rFonts w:ascii="Cambria Math" w:hAnsi="Cambria Math" w:cs="Times New Roman"/>
              <w:color w:val="000000" w:themeColor="text1"/>
              <w:sz w:val="20"/>
              <w:szCs w:val="20"/>
            </w:rPr>
            <m:t>Overall</m:t>
          </m:r>
          <m:r>
            <w:rPr>
              <w:rFonts w:ascii="Cambria Math" w:cs="Times New Roman"/>
              <w:color w:val="000000" w:themeColor="text1"/>
              <w:sz w:val="20"/>
              <w:szCs w:val="20"/>
            </w:rPr>
            <m:t xml:space="preserve"> </m:t>
          </m:r>
          <m:r>
            <w:rPr>
              <w:rFonts w:ascii="Cambria Math" w:hAnsi="Cambria Math" w:cs="Times New Roman"/>
              <w:color w:val="000000" w:themeColor="text1"/>
              <w:sz w:val="20"/>
              <w:szCs w:val="20"/>
            </w:rPr>
            <m:t>time</m:t>
          </m:r>
          <m:r>
            <w:rPr>
              <w:rFonts w:ascii="Cambria Math" w:cs="Times New Roman"/>
              <w:color w:val="000000" w:themeColor="text1"/>
              <w:sz w:val="20"/>
              <w:szCs w:val="20"/>
            </w:rPr>
            <m:t xml:space="preserve"> </m:t>
          </m:r>
          <m:r>
            <w:rPr>
              <w:rFonts w:ascii="Cambria Math" w:hAnsi="Cambria Math" w:cs="Times New Roman"/>
              <w:color w:val="000000" w:themeColor="text1"/>
              <w:sz w:val="20"/>
              <w:szCs w:val="20"/>
            </w:rPr>
            <m:t>spend</m:t>
          </m:r>
          <m:r>
            <w:rPr>
              <w:rFonts w:ascii="Cambria Math" w:cs="Times New Roman"/>
              <w:color w:val="000000" w:themeColor="text1"/>
              <w:sz w:val="20"/>
              <w:szCs w:val="20"/>
            </w:rPr>
            <m:t xml:space="preserve"> </m:t>
          </m:r>
          <m:r>
            <w:rPr>
              <w:rFonts w:ascii="Cambria Math" w:hAnsi="Cambria Math" w:cs="Times New Roman"/>
              <w:color w:val="000000" w:themeColor="text1"/>
              <w:sz w:val="20"/>
              <w:szCs w:val="20"/>
            </w:rPr>
            <m:t>on</m:t>
          </m:r>
          <m:r>
            <w:rPr>
              <w:rFonts w:ascii="Cambria Math" w:cs="Times New Roman"/>
              <w:color w:val="000000" w:themeColor="text1"/>
              <w:sz w:val="20"/>
              <w:szCs w:val="20"/>
            </w:rPr>
            <m:t xml:space="preserve"> </m:t>
          </m:r>
          <m:r>
            <w:rPr>
              <w:rFonts w:ascii="Cambria Math" w:hAnsi="Cambria Math" w:cs="Times New Roman"/>
              <w:color w:val="000000" w:themeColor="text1"/>
              <w:sz w:val="20"/>
              <w:szCs w:val="20"/>
            </w:rPr>
            <m:t>t</m:t>
          </m:r>
          <m:r>
            <w:rPr>
              <w:rFonts w:hAnsi="Cambria Math" w:cs="Times New Roman"/>
              <w:color w:val="000000" w:themeColor="text1"/>
              <w:sz w:val="20"/>
              <w:szCs w:val="20"/>
            </w:rPr>
            <m:t>h</m:t>
          </m:r>
          <m:r>
            <w:rPr>
              <w:rFonts w:ascii="Cambria Math" w:hAnsi="Cambria Math" w:cs="Times New Roman"/>
              <w:color w:val="000000" w:themeColor="text1"/>
              <w:sz w:val="20"/>
              <w:szCs w:val="20"/>
            </w:rPr>
            <m:t>e</m:t>
          </m:r>
          <m:r>
            <w:rPr>
              <w:rFonts w:ascii="Cambria Math" w:cs="Times New Roman"/>
              <w:color w:val="000000" w:themeColor="text1"/>
              <w:sz w:val="20"/>
              <w:szCs w:val="20"/>
            </w:rPr>
            <m:t xml:space="preserve"> </m:t>
          </m:r>
          <m:r>
            <w:rPr>
              <w:rFonts w:ascii="Cambria Math" w:hAnsi="Cambria Math" w:cs="Times New Roman"/>
              <w:color w:val="000000" w:themeColor="text1"/>
              <w:sz w:val="20"/>
              <w:szCs w:val="20"/>
            </w:rPr>
            <m:t>governance</m:t>
          </m:r>
          <m:r>
            <w:rPr>
              <w:rFonts w:ascii="Cambria Math" w:cs="Times New Roman"/>
              <w:color w:val="000000" w:themeColor="text1"/>
              <w:sz w:val="20"/>
              <w:szCs w:val="20"/>
            </w:rPr>
            <m:t xml:space="preserve"> </m:t>
          </m:r>
          <m:r>
            <w:rPr>
              <w:rFonts w:ascii="Cambria Math" w:hAnsi="Cambria Math" w:cs="Times New Roman"/>
              <w:color w:val="000000" w:themeColor="text1"/>
              <w:sz w:val="20"/>
              <w:szCs w:val="20"/>
            </w:rPr>
            <m:t>of</m:t>
          </m:r>
          <m:r>
            <w:rPr>
              <w:rFonts w:ascii="Cambria Math" w:cs="Times New Roman"/>
              <w:color w:val="000000" w:themeColor="text1"/>
              <w:sz w:val="20"/>
              <w:szCs w:val="20"/>
            </w:rPr>
            <m:t xml:space="preserve"> </m:t>
          </m:r>
          <m:r>
            <w:rPr>
              <w:rFonts w:ascii="Cambria Math" w:hAnsi="Cambria Math" w:cs="Times New Roman"/>
              <w:color w:val="000000" w:themeColor="text1"/>
              <w:sz w:val="20"/>
              <w:szCs w:val="20"/>
            </w:rPr>
            <m:t>t</m:t>
          </m:r>
          <m:r>
            <w:rPr>
              <w:rFonts w:hAnsi="Cambria Math" w:cs="Times New Roman"/>
              <w:color w:val="000000" w:themeColor="text1"/>
              <w:sz w:val="20"/>
              <w:szCs w:val="20"/>
            </w:rPr>
            <m:t>h</m:t>
          </m:r>
          <m:r>
            <w:rPr>
              <w:rFonts w:ascii="Cambria Math" w:hAnsi="Cambria Math" w:cs="Times New Roman"/>
              <w:color w:val="000000" w:themeColor="text1"/>
              <w:sz w:val="20"/>
              <w:szCs w:val="20"/>
            </w:rPr>
            <m:t>e</m:t>
          </m:r>
          <m:r>
            <w:rPr>
              <w:rFonts w:ascii="Cambria Math" w:cs="Times New Roman"/>
              <w:color w:val="000000" w:themeColor="text1"/>
              <w:sz w:val="20"/>
              <w:szCs w:val="20"/>
            </w:rPr>
            <m:t xml:space="preserve"> </m:t>
          </m:r>
          <m:r>
            <w:rPr>
              <w:rFonts w:ascii="Cambria Math" w:hAnsi="Cambria Math" w:cs="Times New Roman"/>
              <w:color w:val="000000" w:themeColor="text1"/>
              <w:sz w:val="20"/>
              <w:szCs w:val="20"/>
            </w:rPr>
            <m:t>country</m:t>
          </m:r>
          <m:r>
            <w:rPr>
              <w:rFonts w:ascii="Cambria Math" w:cs="Times New Roman"/>
              <w:color w:val="000000" w:themeColor="text1"/>
              <w:sz w:val="20"/>
              <w:szCs w:val="20"/>
            </w:rPr>
            <m:t xml:space="preserve"> </m:t>
          </m:r>
          <m:r>
            <w:rPr>
              <w:rFonts w:ascii="Cambria Math" w:hAnsi="Cambria Math" w:cs="Times New Roman"/>
              <w:color w:val="000000" w:themeColor="text1"/>
              <w:sz w:val="20"/>
              <w:szCs w:val="20"/>
            </w:rPr>
            <m:t>between</m:t>
          </m:r>
          <m:r>
            <w:rPr>
              <w:rFonts w:ascii="Cambria Math" w:cs="Times New Roman"/>
              <w:color w:val="000000" w:themeColor="text1"/>
              <w:sz w:val="20"/>
              <w:szCs w:val="20"/>
            </w:rPr>
            <m:t xml:space="preserve"> 2001</m:t>
          </m:r>
          <m:r>
            <w:rPr>
              <w:rFonts w:ascii="Cambria Math" w:cs="Times New Roman"/>
              <w:color w:val="000000" w:themeColor="text1"/>
              <w:sz w:val="20"/>
              <w:szCs w:val="20"/>
            </w:rPr>
            <m:t>-</m:t>
          </m:r>
          <m:r>
            <w:rPr>
              <w:rFonts w:ascii="Cambria Math" w:cs="Times New Roman"/>
              <w:color w:val="000000" w:themeColor="text1"/>
              <w:sz w:val="20"/>
              <w:szCs w:val="20"/>
            </w:rPr>
            <m:t>2015</m:t>
          </m:r>
        </m:oMath>
      </m:oMathPara>
    </w:p>
    <w:p w:rsidR="00FE2C72" w:rsidRPr="00851813" w:rsidRDefault="00F679E5" w:rsidP="00DB6CFA">
      <w:pPr>
        <w:spacing w:after="0" w:line="240" w:lineRule="auto"/>
        <w:rPr>
          <w:rFonts w:cs="Times New Roman"/>
          <w:color w:val="000000" w:themeColor="text1"/>
          <w:sz w:val="20"/>
          <w:szCs w:val="20"/>
        </w:rPr>
      </w:pPr>
      <m:oMathPara>
        <m:oMathParaPr>
          <m:jc m:val="left"/>
        </m:oMathParaPr>
        <m:oMath>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β</m:t>
              </m:r>
            </m:e>
            <m:sub>
              <m:r>
                <w:rPr>
                  <w:rFonts w:ascii="Cambria Math" w:cs="Times New Roman"/>
                  <w:color w:val="000000" w:themeColor="text1"/>
                  <w:sz w:val="20"/>
                  <w:szCs w:val="20"/>
                </w:rPr>
                <m:t>1</m:t>
              </m:r>
            </m:sub>
          </m:sSub>
          <m:r>
            <w:rPr>
              <w:rFonts w:cs="Times New Roman"/>
              <w:color w:val="000000" w:themeColor="text1"/>
              <w:sz w:val="20"/>
              <w:szCs w:val="20"/>
            </w:rPr>
            <m:t>-</m:t>
          </m:r>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β</m:t>
              </m:r>
            </m:e>
            <m:sub>
              <m:r>
                <w:rPr>
                  <w:rFonts w:ascii="Cambria Math" w:cs="Times New Roman"/>
                  <w:color w:val="000000" w:themeColor="text1"/>
                  <w:sz w:val="20"/>
                  <w:szCs w:val="20"/>
                </w:rPr>
                <m:t>5</m:t>
              </m:r>
            </m:sub>
          </m:sSub>
          <m:r>
            <w:rPr>
              <w:rFonts w:ascii="Cambria Math" w:cs="Times New Roman"/>
              <w:color w:val="000000" w:themeColor="text1"/>
              <w:sz w:val="20"/>
              <w:szCs w:val="20"/>
            </w:rPr>
            <m:t>=</m:t>
          </m:r>
          <m:r>
            <w:rPr>
              <w:rFonts w:ascii="Cambria Math" w:hAnsi="Cambria Math" w:cs="Times New Roman"/>
              <w:color w:val="000000" w:themeColor="text1"/>
              <w:sz w:val="20"/>
              <w:szCs w:val="20"/>
            </w:rPr>
            <m:t>Coeffeicents</m:t>
          </m:r>
          <m:r>
            <w:rPr>
              <w:rFonts w:ascii="Cambria Math" w:cs="Times New Roman"/>
              <w:color w:val="000000" w:themeColor="text1"/>
              <w:sz w:val="20"/>
              <w:szCs w:val="20"/>
            </w:rPr>
            <m:t xml:space="preserve"> </m:t>
          </m:r>
          <m:r>
            <w:rPr>
              <w:rFonts w:ascii="Cambria Math" w:hAnsi="Cambria Math" w:cs="Times New Roman"/>
              <w:color w:val="000000" w:themeColor="text1"/>
              <w:sz w:val="20"/>
              <w:szCs w:val="20"/>
            </w:rPr>
            <m:t>for</m:t>
          </m:r>
          <m:r>
            <w:rPr>
              <w:rFonts w:ascii="Cambria Math" w:cs="Times New Roman"/>
              <w:color w:val="000000" w:themeColor="text1"/>
              <w:sz w:val="20"/>
              <w:szCs w:val="20"/>
            </w:rPr>
            <m:t xml:space="preserve"> </m:t>
          </m:r>
          <m:r>
            <w:rPr>
              <w:rFonts w:ascii="Cambria Math" w:hAnsi="Cambria Math" w:cs="Times New Roman"/>
              <w:color w:val="000000" w:themeColor="text1"/>
              <w:sz w:val="20"/>
              <w:szCs w:val="20"/>
            </w:rPr>
            <m:t>t</m:t>
          </m:r>
          <m:r>
            <w:rPr>
              <w:rFonts w:hAnsi="Cambria Math" w:cs="Times New Roman"/>
              <w:color w:val="000000" w:themeColor="text1"/>
              <w:sz w:val="20"/>
              <w:szCs w:val="20"/>
            </w:rPr>
            <m:t>h</m:t>
          </m:r>
          <m:r>
            <w:rPr>
              <w:rFonts w:ascii="Cambria Math" w:hAnsi="Cambria Math" w:cs="Times New Roman"/>
              <w:color w:val="000000" w:themeColor="text1"/>
              <w:sz w:val="20"/>
              <w:szCs w:val="20"/>
            </w:rPr>
            <m:t>e</m:t>
          </m:r>
          <m:r>
            <w:rPr>
              <w:rFonts w:ascii="Cambria Math" w:cs="Times New Roman"/>
              <w:color w:val="000000" w:themeColor="text1"/>
              <w:sz w:val="20"/>
              <w:szCs w:val="20"/>
            </w:rPr>
            <m:t xml:space="preserve"> </m:t>
          </m:r>
          <m:r>
            <w:rPr>
              <w:rFonts w:ascii="Cambria Math" w:hAnsi="Cambria Math" w:cs="Times New Roman"/>
              <w:color w:val="000000" w:themeColor="text1"/>
              <w:sz w:val="20"/>
              <w:szCs w:val="20"/>
            </w:rPr>
            <m:t>respective</m:t>
          </m:r>
          <m:r>
            <w:rPr>
              <w:rFonts w:ascii="Cambria Math" w:cs="Times New Roman"/>
              <w:color w:val="000000" w:themeColor="text1"/>
              <w:sz w:val="20"/>
              <w:szCs w:val="20"/>
            </w:rPr>
            <m:t xml:space="preserve"> </m:t>
          </m:r>
          <m:r>
            <w:rPr>
              <w:rFonts w:ascii="Cambria Math" w:hAnsi="Cambria Math" w:cs="Times New Roman"/>
              <w:color w:val="000000" w:themeColor="text1"/>
              <w:sz w:val="20"/>
              <w:szCs w:val="20"/>
            </w:rPr>
            <m:t>variables</m:t>
          </m:r>
          <m:r>
            <w:rPr>
              <w:rFonts w:ascii="Cambria Math" w:cs="Times New Roman"/>
              <w:color w:val="000000" w:themeColor="text1"/>
              <w:sz w:val="20"/>
              <w:szCs w:val="20"/>
            </w:rPr>
            <m:t>.</m:t>
          </m:r>
        </m:oMath>
      </m:oMathPara>
    </w:p>
    <w:p w:rsidR="00FE2C72" w:rsidRPr="00851813" w:rsidRDefault="00F679E5" w:rsidP="00DB6CFA">
      <w:pPr>
        <w:spacing w:after="0" w:line="240" w:lineRule="auto"/>
        <w:rPr>
          <w:rFonts w:eastAsiaTheme="minorEastAsia" w:cs="Times New Roman"/>
          <w:color w:val="000000" w:themeColor="text1"/>
          <w:sz w:val="20"/>
          <w:szCs w:val="20"/>
        </w:rPr>
      </w:pPr>
      <m:oMathPara>
        <m:oMathParaPr>
          <m:jc m:val="left"/>
        </m:oMathParaPr>
        <m:oMath>
          <m:sSub>
            <m:sSubPr>
              <m:ctrlPr>
                <w:rPr>
                  <w:rFonts w:ascii="Cambria Math" w:hAnsi="Cambria Math" w:cs="Times New Roman"/>
                  <w:i/>
                  <w:color w:val="000000" w:themeColor="text1"/>
                  <w:sz w:val="20"/>
                  <w:szCs w:val="20"/>
                </w:rPr>
              </m:ctrlPr>
            </m:sSubPr>
            <m:e>
              <m:r>
                <w:rPr>
                  <w:rFonts w:ascii="Cambria Math" w:cs="Times New Roman"/>
                  <w:color w:val="000000" w:themeColor="text1"/>
                  <w:sz w:val="20"/>
                  <w:szCs w:val="20"/>
                </w:rPr>
                <m:t>€</m:t>
              </m:r>
            </m:e>
            <m:sub>
              <m:r>
                <w:rPr>
                  <w:rFonts w:ascii="Cambria Math" w:hAnsi="Cambria Math" w:cs="Times New Roman"/>
                  <w:color w:val="000000" w:themeColor="text1"/>
                  <w:sz w:val="20"/>
                  <w:szCs w:val="20"/>
                </w:rPr>
                <m:t>t</m:t>
              </m:r>
            </m:sub>
          </m:sSub>
          <m:r>
            <w:rPr>
              <w:rFonts w:ascii="Cambria Math" w:cs="Times New Roman"/>
              <w:color w:val="000000" w:themeColor="text1"/>
              <w:sz w:val="20"/>
              <w:szCs w:val="20"/>
            </w:rPr>
            <m:t>=</m:t>
          </m:r>
          <m:r>
            <w:rPr>
              <w:rFonts w:ascii="Cambria Math" w:hAnsi="Cambria Math" w:cs="Times New Roman"/>
              <w:color w:val="000000" w:themeColor="text1"/>
              <w:sz w:val="20"/>
              <w:szCs w:val="20"/>
            </w:rPr>
            <m:t>Error</m:t>
          </m:r>
          <m:r>
            <w:rPr>
              <w:rFonts w:ascii="Cambria Math" w:cs="Times New Roman"/>
              <w:color w:val="000000" w:themeColor="text1"/>
              <w:sz w:val="20"/>
              <w:szCs w:val="20"/>
            </w:rPr>
            <m:t xml:space="preserve"> </m:t>
          </m:r>
          <m:r>
            <w:rPr>
              <w:rFonts w:ascii="Cambria Math" w:hAnsi="Cambria Math" w:cs="Times New Roman"/>
              <w:color w:val="000000" w:themeColor="text1"/>
              <w:sz w:val="20"/>
              <w:szCs w:val="20"/>
            </w:rPr>
            <m:t>term</m:t>
          </m:r>
        </m:oMath>
      </m:oMathPara>
    </w:p>
    <w:p w:rsidR="008329B8" w:rsidRPr="00851813" w:rsidRDefault="008329B8" w:rsidP="00DB6CFA">
      <w:pPr>
        <w:spacing w:after="0" w:line="240" w:lineRule="auto"/>
        <w:rPr>
          <w:rFonts w:eastAsiaTheme="minorEastAsia" w:cs="Times New Roman"/>
          <w:color w:val="000000" w:themeColor="text1"/>
          <w:sz w:val="20"/>
          <w:szCs w:val="20"/>
        </w:rPr>
      </w:pPr>
    </w:p>
    <w:p w:rsidR="00FE2C72" w:rsidRPr="00851813" w:rsidRDefault="00FE2C72" w:rsidP="008A21D8">
      <w:pPr>
        <w:spacing w:after="0" w:line="240" w:lineRule="auto"/>
        <w:ind w:firstLine="720"/>
        <w:rPr>
          <w:rFonts w:eastAsiaTheme="minorEastAsia" w:cs="Times New Roman"/>
          <w:color w:val="000000" w:themeColor="text1"/>
          <w:sz w:val="20"/>
          <w:szCs w:val="20"/>
        </w:rPr>
      </w:pPr>
      <w:r w:rsidRPr="00851813">
        <w:rPr>
          <w:rFonts w:eastAsiaTheme="minorEastAsia" w:cs="Times New Roman"/>
          <w:color w:val="000000" w:themeColor="text1"/>
          <w:sz w:val="20"/>
          <w:szCs w:val="20"/>
        </w:rPr>
        <w:t xml:space="preserve">The second part of the research to examine the affect of FDI on export diversification is done by using </w:t>
      </w:r>
      <w:r w:rsidRPr="00851813">
        <w:rPr>
          <w:rFonts w:cs="Times New Roman"/>
          <w:sz w:val="20"/>
          <w:szCs w:val="20"/>
        </w:rPr>
        <w:t>Herfindahl–Hirschman Index.</w:t>
      </w:r>
    </w:p>
    <w:p w:rsidR="00FE2C72" w:rsidRPr="00851813" w:rsidRDefault="00FE2C72" w:rsidP="008A21D8">
      <w:pPr>
        <w:spacing w:after="0" w:line="240" w:lineRule="auto"/>
        <w:ind w:firstLine="720"/>
        <w:rPr>
          <w:rFonts w:cs="Times New Roman"/>
          <w:sz w:val="20"/>
          <w:szCs w:val="20"/>
        </w:rPr>
      </w:pPr>
      <w:r w:rsidRPr="00851813">
        <w:rPr>
          <w:rFonts w:cs="Times New Roman"/>
          <w:sz w:val="20"/>
          <w:szCs w:val="20"/>
        </w:rPr>
        <w:t>Export diversification can be measured in several ways. The first diversification index is simple count of export commodities (CountP) and export destinations (CountM) at the Harmonized System 1998 six-digit level. But the</w:t>
      </w:r>
      <w:r w:rsidR="008329B8" w:rsidRPr="00851813">
        <w:rPr>
          <w:rFonts w:cs="Times New Roman"/>
          <w:sz w:val="20"/>
          <w:szCs w:val="20"/>
        </w:rPr>
        <w:t xml:space="preserve"> </w:t>
      </w:r>
      <w:r w:rsidRPr="00851813">
        <w:rPr>
          <w:rFonts w:cs="Times New Roman"/>
          <w:sz w:val="20"/>
          <w:szCs w:val="20"/>
        </w:rPr>
        <w:t xml:space="preserve">simple count does not tell how the total export is divided among different products. One country may have more export products than another but can heavily rely on a few commodities so that its export structure is highly concentrated. A better index for export concentration is Herfindahl–Hirschman Index which shows how much the export is concentrated using the sum of squared share of each commodity, commodity i. Having only one export product will result in HHI of 1 and having equally divided export value among its export commodities will result in low number close to (1/number of product). Then HHI is normalized so that all HHI ranges from 0 to 1 regardless of each country’s number of export products. HHI of country j is calculated using the following formula:  </w:t>
      </w:r>
    </w:p>
    <w:p w:rsidR="00FE2C72" w:rsidRPr="00851813" w:rsidRDefault="00F679E5" w:rsidP="00DB6CFA">
      <w:pPr>
        <w:pStyle w:val="NoSpacing"/>
        <w:jc w:val="both"/>
        <w:rPr>
          <w:rFonts w:ascii="Times New Roman" w:eastAsiaTheme="minorEastAsia" w:hAnsi="Times New Roman" w:cs="Times New Roman"/>
          <w:sz w:val="20"/>
          <w:szCs w:val="20"/>
          <w:vertAlign w:val="superscript"/>
        </w:rPr>
      </w:pPr>
      <m:oMathPara>
        <m:oMath>
          <m:sSub>
            <m:sSubPr>
              <m:ctrlPr>
                <w:rPr>
                  <w:rFonts w:ascii="Cambria Math" w:hAnsi="Times New Roman" w:cs="Times New Roman"/>
                  <w:i/>
                  <w:sz w:val="20"/>
                  <w:szCs w:val="20"/>
                  <w:vertAlign w:val="superscript"/>
                </w:rPr>
              </m:ctrlPr>
            </m:sSubPr>
            <m:e>
              <m:r>
                <w:rPr>
                  <w:rFonts w:ascii="Cambria Math" w:hAnsi="Cambria Math" w:cs="Times New Roman"/>
                  <w:sz w:val="20"/>
                  <w:szCs w:val="20"/>
                  <w:vertAlign w:val="superscript"/>
                </w:rPr>
                <m:t>HHI</m:t>
              </m:r>
            </m:e>
            <m:sub>
              <m:r>
                <w:rPr>
                  <w:rFonts w:ascii="Cambria Math" w:hAnsi="Cambria Math" w:cs="Times New Roman"/>
                  <w:sz w:val="20"/>
                  <w:szCs w:val="20"/>
                  <w:vertAlign w:val="superscript"/>
                </w:rPr>
                <m:t>j</m:t>
              </m:r>
            </m:sub>
          </m:sSub>
          <m:r>
            <w:rPr>
              <w:rFonts w:ascii="Cambria Math" w:hAnsi="Times New Roman" w:cs="Times New Roman"/>
              <w:sz w:val="20"/>
              <w:szCs w:val="20"/>
              <w:vertAlign w:val="superscript"/>
            </w:rPr>
            <m:t>=</m:t>
          </m:r>
          <m:r>
            <w:rPr>
              <w:rFonts w:ascii="Cambria Math" w:hAnsi="Times New Roman" w:cs="Times New Roman"/>
              <w:sz w:val="20"/>
              <w:szCs w:val="20"/>
              <w:vertAlign w:val="superscript"/>
            </w:rPr>
            <m:t>∑</m:t>
          </m:r>
          <m:r>
            <w:rPr>
              <w:rFonts w:ascii="Cambria Math" w:hAnsi="Times New Roman" w:cs="Times New Roman"/>
              <w:sz w:val="20"/>
              <w:szCs w:val="20"/>
              <w:vertAlign w:val="superscript"/>
            </w:rPr>
            <m:t>(</m:t>
          </m:r>
          <m:sSup>
            <m:sSupPr>
              <m:ctrlPr>
                <w:rPr>
                  <w:rFonts w:ascii="Cambria Math" w:hAnsi="Times New Roman" w:cs="Times New Roman"/>
                  <w:i/>
                  <w:sz w:val="20"/>
                  <w:szCs w:val="20"/>
                  <w:vertAlign w:val="superscript"/>
                </w:rPr>
              </m:ctrlPr>
            </m:sSupPr>
            <m:e>
              <m:f>
                <m:fPr>
                  <m:ctrlPr>
                    <w:rPr>
                      <w:rFonts w:ascii="Cambria Math" w:hAnsi="Times New Roman" w:cs="Times New Roman"/>
                      <w:i/>
                      <w:sz w:val="20"/>
                      <w:szCs w:val="20"/>
                      <w:vertAlign w:val="superscript"/>
                    </w:rPr>
                  </m:ctrlPr>
                </m:fPr>
                <m:num>
                  <m:sSub>
                    <m:sSubPr>
                      <m:ctrlPr>
                        <w:rPr>
                          <w:rFonts w:ascii="Cambria Math" w:hAnsi="Times New Roman" w:cs="Times New Roman"/>
                          <w:i/>
                          <w:sz w:val="20"/>
                          <w:szCs w:val="20"/>
                          <w:vertAlign w:val="superscript"/>
                        </w:rPr>
                      </m:ctrlPr>
                    </m:sSubPr>
                    <m:e>
                      <m:r>
                        <w:rPr>
                          <w:rFonts w:ascii="Cambria Math" w:hAnsi="Cambria Math" w:cs="Times New Roman"/>
                          <w:sz w:val="20"/>
                          <w:szCs w:val="20"/>
                          <w:vertAlign w:val="superscript"/>
                        </w:rPr>
                        <m:t>X</m:t>
                      </m:r>
                    </m:e>
                    <m:sub>
                      <m:r>
                        <w:rPr>
                          <w:rFonts w:ascii="Cambria Math" w:hAnsi="Cambria Math" w:cs="Times New Roman"/>
                          <w:sz w:val="20"/>
                          <w:szCs w:val="20"/>
                          <w:vertAlign w:val="superscript"/>
                        </w:rPr>
                        <m:t>ij</m:t>
                      </m:r>
                    </m:sub>
                  </m:sSub>
                </m:num>
                <m:den>
                  <m:sSub>
                    <m:sSubPr>
                      <m:ctrlPr>
                        <w:rPr>
                          <w:rFonts w:ascii="Cambria Math" w:hAnsi="Times New Roman" w:cs="Times New Roman"/>
                          <w:i/>
                          <w:sz w:val="20"/>
                          <w:szCs w:val="20"/>
                          <w:vertAlign w:val="superscript"/>
                        </w:rPr>
                      </m:ctrlPr>
                    </m:sSubPr>
                    <m:e>
                      <m:r>
                        <w:rPr>
                          <w:rFonts w:ascii="Cambria Math" w:hAnsi="Cambria Math" w:cs="Times New Roman"/>
                          <w:sz w:val="20"/>
                          <w:szCs w:val="20"/>
                          <w:vertAlign w:val="superscript"/>
                        </w:rPr>
                        <m:t>X</m:t>
                      </m:r>
                    </m:e>
                    <m:sub>
                      <m:r>
                        <w:rPr>
                          <w:rFonts w:ascii="Cambria Math" w:hAnsi="Cambria Math" w:cs="Times New Roman"/>
                          <w:sz w:val="20"/>
                          <w:szCs w:val="20"/>
                          <w:vertAlign w:val="superscript"/>
                        </w:rPr>
                        <m:t>j</m:t>
                      </m:r>
                    </m:sub>
                  </m:sSub>
                </m:den>
              </m:f>
              <m:r>
                <w:rPr>
                  <w:rFonts w:ascii="Cambria Math" w:hAnsi="Times New Roman" w:cs="Times New Roman"/>
                  <w:sz w:val="20"/>
                  <w:szCs w:val="20"/>
                  <w:vertAlign w:val="superscript"/>
                </w:rPr>
                <m:t>)</m:t>
              </m:r>
            </m:e>
            <m:sup>
              <m:r>
                <w:rPr>
                  <w:rFonts w:ascii="Cambria Math" w:hAnsi="Times New Roman" w:cs="Times New Roman"/>
                  <w:sz w:val="20"/>
                  <w:szCs w:val="20"/>
                  <w:vertAlign w:val="superscript"/>
                </w:rPr>
                <m:t>2</m:t>
              </m:r>
            </m:sup>
          </m:sSup>
        </m:oMath>
      </m:oMathPara>
    </w:p>
    <w:p w:rsidR="00FE2C72" w:rsidRPr="00851813" w:rsidRDefault="00FE2C72" w:rsidP="00DB6CFA">
      <w:pPr>
        <w:spacing w:after="0" w:line="240" w:lineRule="auto"/>
        <w:rPr>
          <w:rFonts w:eastAsiaTheme="minorEastAsia" w:cs="Times New Roman"/>
          <w:sz w:val="20"/>
          <w:szCs w:val="20"/>
        </w:rPr>
      </w:pPr>
      <w:r w:rsidRPr="00851813">
        <w:rPr>
          <w:rFonts w:eastAsiaTheme="minorEastAsia" w:cs="Times New Roman"/>
          <w:sz w:val="20"/>
          <w:szCs w:val="20"/>
        </w:rPr>
        <w:t xml:space="preserve">The econometric model suggested is </w:t>
      </w:r>
      <w:r w:rsidR="00C55F62" w:rsidRPr="00851813">
        <w:rPr>
          <w:rFonts w:eastAsiaTheme="minorEastAsia" w:cs="Times New Roman"/>
          <w:sz w:val="20"/>
          <w:szCs w:val="20"/>
        </w:rPr>
        <w:t>Genaralised</w:t>
      </w:r>
      <w:r w:rsidRPr="00851813">
        <w:rPr>
          <w:rFonts w:eastAsiaTheme="minorEastAsia" w:cs="Times New Roman"/>
          <w:sz w:val="20"/>
          <w:szCs w:val="20"/>
        </w:rPr>
        <w:t xml:space="preserve"> Linear regression model where the relationship between </w:t>
      </w:r>
      <w:r w:rsidR="00C55F62" w:rsidRPr="00851813">
        <w:rPr>
          <w:rFonts w:eastAsiaTheme="minorEastAsia" w:cs="Times New Roman"/>
          <w:sz w:val="20"/>
          <w:szCs w:val="20"/>
        </w:rPr>
        <w:t>the variables</w:t>
      </w:r>
      <w:r w:rsidRPr="00851813">
        <w:rPr>
          <w:rFonts w:eastAsiaTheme="minorEastAsia" w:cs="Times New Roman"/>
          <w:sz w:val="20"/>
          <w:szCs w:val="20"/>
        </w:rPr>
        <w:t xml:space="preserve"> can be explained as follows</w:t>
      </w:r>
    </w:p>
    <w:p w:rsidR="00C55F62" w:rsidRPr="00851813" w:rsidRDefault="00C55F62" w:rsidP="00DB6CFA">
      <w:pPr>
        <w:spacing w:after="0" w:line="240" w:lineRule="auto"/>
        <w:rPr>
          <w:rFonts w:cs="Times New Roman"/>
          <w:color w:val="000000" w:themeColor="text1"/>
          <w:sz w:val="20"/>
          <w:szCs w:val="20"/>
        </w:rPr>
      </w:pPr>
      <m:oMathPara>
        <m:oMath>
          <m:r>
            <w:rPr>
              <w:rFonts w:ascii="Cambria Math" w:hAnsi="Cambria Math" w:cs="Times New Roman"/>
              <w:color w:val="000000" w:themeColor="text1"/>
              <w:sz w:val="20"/>
              <w:szCs w:val="20"/>
            </w:rPr>
            <m:t>HHI</m:t>
          </m:r>
          <m:r>
            <w:rPr>
              <w:rFonts w:ascii="Cambria Math" w:cs="Times New Roman"/>
              <w:color w:val="000000" w:themeColor="text1"/>
              <w:sz w:val="20"/>
              <w:szCs w:val="20"/>
            </w:rPr>
            <m:t>=</m:t>
          </m:r>
          <m:r>
            <w:rPr>
              <w:rFonts w:ascii="Cambria Math" w:hAnsi="Cambria Math" w:cs="Times New Roman"/>
              <w:color w:val="000000" w:themeColor="text1"/>
              <w:sz w:val="20"/>
              <w:szCs w:val="20"/>
            </w:rPr>
            <m:t>α</m:t>
          </m:r>
          <m:r>
            <w:rPr>
              <w:rFonts w:ascii="Cambria Math" w:cs="Times New Roman"/>
              <w:color w:val="000000" w:themeColor="text1"/>
              <w:sz w:val="20"/>
              <w:szCs w:val="20"/>
            </w:rPr>
            <m:t>+</m:t>
          </m:r>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β</m:t>
              </m:r>
            </m:e>
            <m:sub>
              <m:r>
                <w:rPr>
                  <w:rFonts w:ascii="Cambria Math" w:cs="Times New Roman"/>
                  <w:color w:val="000000" w:themeColor="text1"/>
                  <w:sz w:val="20"/>
                  <w:szCs w:val="20"/>
                </w:rPr>
                <m:t>1</m:t>
              </m:r>
            </m:sub>
          </m:sSub>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FDI</m:t>
              </m:r>
            </m:e>
            <m:sub>
              <m:r>
                <w:rPr>
                  <w:rFonts w:ascii="Cambria Math" w:hAnsi="Cambria Math" w:cs="Times New Roman"/>
                  <w:color w:val="000000" w:themeColor="text1"/>
                  <w:sz w:val="20"/>
                  <w:szCs w:val="20"/>
                </w:rPr>
                <m:t>t</m:t>
              </m:r>
            </m:sub>
          </m:sSub>
          <m:r>
            <w:rPr>
              <w:rFonts w:ascii="Cambria Math" w:cs="Times New Roman"/>
              <w:color w:val="000000" w:themeColor="text1"/>
              <w:sz w:val="20"/>
              <w:szCs w:val="20"/>
            </w:rPr>
            <m:t>+</m:t>
          </m:r>
          <m:sSub>
            <m:sSubPr>
              <m:ctrlPr>
                <w:rPr>
                  <w:rFonts w:ascii="Cambria Math" w:hAnsi="Cambria Math" w:cs="Times New Roman"/>
                  <w:i/>
                  <w:color w:val="000000" w:themeColor="text1"/>
                  <w:sz w:val="20"/>
                  <w:szCs w:val="20"/>
                </w:rPr>
              </m:ctrlPr>
            </m:sSubPr>
            <m:e>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β</m:t>
                  </m:r>
                </m:e>
                <m:sub>
                  <m:r>
                    <w:rPr>
                      <w:rFonts w:ascii="Cambria Math" w:cs="Times New Roman"/>
                      <w:color w:val="000000" w:themeColor="text1"/>
                      <w:sz w:val="20"/>
                      <w:szCs w:val="20"/>
                    </w:rPr>
                    <m:t>2</m:t>
                  </m:r>
                </m:sub>
              </m:sSub>
              <m:r>
                <w:rPr>
                  <w:rFonts w:ascii="Cambria Math" w:hAnsi="Cambria Math" w:cs="Times New Roman"/>
                  <w:color w:val="000000" w:themeColor="text1"/>
                  <w:sz w:val="20"/>
                  <w:szCs w:val="20"/>
                </w:rPr>
                <m:t>GDP</m:t>
              </m:r>
            </m:e>
            <m:sub>
              <m:r>
                <w:rPr>
                  <w:rFonts w:ascii="Cambria Math" w:hAnsi="Cambria Math" w:cs="Times New Roman"/>
                  <w:color w:val="000000" w:themeColor="text1"/>
                  <w:sz w:val="20"/>
                  <w:szCs w:val="20"/>
                </w:rPr>
                <m:t>t</m:t>
              </m:r>
            </m:sub>
          </m:sSub>
          <m:r>
            <w:rPr>
              <w:rFonts w:ascii="Cambria Math" w:cs="Times New Roman"/>
              <w:color w:val="000000" w:themeColor="text1"/>
              <w:sz w:val="20"/>
              <w:szCs w:val="20"/>
            </w:rPr>
            <m:t xml:space="preserve">+ </m:t>
          </m:r>
          <m:sSub>
            <m:sSubPr>
              <m:ctrlPr>
                <w:rPr>
                  <w:rFonts w:ascii="Cambria Math" w:hAnsi="Cambria Math" w:cs="Times New Roman"/>
                  <w:i/>
                  <w:color w:val="000000" w:themeColor="text1"/>
                  <w:sz w:val="20"/>
                  <w:szCs w:val="20"/>
                </w:rPr>
              </m:ctrlPr>
            </m:sSubPr>
            <m:e>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β</m:t>
                  </m:r>
                </m:e>
                <m:sub>
                  <m:r>
                    <w:rPr>
                      <w:rFonts w:ascii="Cambria Math" w:cs="Times New Roman"/>
                      <w:color w:val="000000" w:themeColor="text1"/>
                      <w:sz w:val="20"/>
                      <w:szCs w:val="20"/>
                    </w:rPr>
                    <m:t>3</m:t>
                  </m:r>
                </m:sub>
              </m:sSub>
              <m:r>
                <w:rPr>
                  <w:rFonts w:ascii="Cambria Math" w:hAnsi="Cambria Math" w:cs="Times New Roman"/>
                  <w:color w:val="000000" w:themeColor="text1"/>
                  <w:sz w:val="20"/>
                  <w:szCs w:val="20"/>
                </w:rPr>
                <m:t>Tax</m:t>
              </m:r>
            </m:e>
            <m:sub>
              <m:r>
                <w:rPr>
                  <w:rFonts w:ascii="Cambria Math" w:hAnsi="Cambria Math" w:cs="Times New Roman"/>
                  <w:color w:val="000000" w:themeColor="text1"/>
                  <w:sz w:val="20"/>
                  <w:szCs w:val="20"/>
                </w:rPr>
                <m:t>t</m:t>
              </m:r>
            </m:sub>
          </m:sSub>
          <m:r>
            <w:rPr>
              <w:rFonts w:ascii="Cambria Math" w:cs="Times New Roman"/>
              <w:color w:val="000000" w:themeColor="text1"/>
              <w:sz w:val="20"/>
              <w:szCs w:val="20"/>
            </w:rPr>
            <m:t>+</m:t>
          </m:r>
          <m:sSub>
            <m:sSubPr>
              <m:ctrlPr>
                <w:rPr>
                  <w:rFonts w:ascii="Cambria Math" w:hAnsi="Cambria Math" w:cs="Times New Roman"/>
                  <w:i/>
                  <w:color w:val="000000" w:themeColor="text1"/>
                  <w:sz w:val="20"/>
                  <w:szCs w:val="20"/>
                </w:rPr>
              </m:ctrlPr>
            </m:sSubPr>
            <m:e>
              <m:sSub>
                <m:sSubPr>
                  <m:ctrlPr>
                    <w:rPr>
                      <w:rFonts w:ascii="Cambria Math" w:hAnsi="Cambria Math" w:cs="Times New Roman"/>
                      <w:i/>
                      <w:color w:val="000000" w:themeColor="text1"/>
                      <w:sz w:val="20"/>
                      <w:szCs w:val="20"/>
                    </w:rPr>
                  </m:ctrlPr>
                </m:sSubPr>
                <m:e>
                  <m:r>
                    <w:rPr>
                      <w:rFonts w:ascii="Cambria Math" w:hAnsi="Cambria Math" w:cs="Times New Roman"/>
                      <w:color w:val="000000" w:themeColor="text1"/>
                      <w:sz w:val="20"/>
                      <w:szCs w:val="20"/>
                    </w:rPr>
                    <m:t>β</m:t>
                  </m:r>
                </m:e>
                <m:sub>
                  <m:r>
                    <w:rPr>
                      <w:rFonts w:ascii="Cambria Math" w:cs="Times New Roman"/>
                      <w:color w:val="000000" w:themeColor="text1"/>
                      <w:sz w:val="20"/>
                      <w:szCs w:val="20"/>
                    </w:rPr>
                    <m:t>4</m:t>
                  </m:r>
                </m:sub>
              </m:sSub>
              <m:r>
                <w:rPr>
                  <w:rFonts w:ascii="Cambria Math" w:hAnsi="Cambria Math" w:cs="Times New Roman"/>
                  <w:color w:val="000000" w:themeColor="text1"/>
                  <w:sz w:val="20"/>
                  <w:szCs w:val="20"/>
                </w:rPr>
                <m:t>Time</m:t>
              </m:r>
            </m:e>
            <m:sub>
              <m:r>
                <w:rPr>
                  <w:rFonts w:ascii="Cambria Math" w:hAnsi="Cambria Math" w:cs="Times New Roman"/>
                  <w:color w:val="000000" w:themeColor="text1"/>
                  <w:sz w:val="20"/>
                  <w:szCs w:val="20"/>
                </w:rPr>
                <m:t>t</m:t>
              </m:r>
            </m:sub>
          </m:sSub>
          <m:r>
            <w:rPr>
              <w:rFonts w:ascii="Cambria Math" w:cs="Times New Roman"/>
              <w:color w:val="000000" w:themeColor="text1"/>
              <w:sz w:val="20"/>
              <w:szCs w:val="20"/>
            </w:rPr>
            <m:t>+</m:t>
          </m:r>
          <m:sSub>
            <m:sSubPr>
              <m:ctrlPr>
                <w:rPr>
                  <w:rFonts w:ascii="Cambria Math" w:hAnsi="Cambria Math" w:cs="Times New Roman"/>
                  <w:i/>
                  <w:color w:val="000000" w:themeColor="text1"/>
                  <w:sz w:val="20"/>
                  <w:szCs w:val="20"/>
                </w:rPr>
              </m:ctrlPr>
            </m:sSubPr>
            <m:e>
              <m:r>
                <w:rPr>
                  <w:rFonts w:ascii="Cambria Math" w:cs="Times New Roman"/>
                  <w:color w:val="000000" w:themeColor="text1"/>
                  <w:sz w:val="20"/>
                  <w:szCs w:val="20"/>
                </w:rPr>
                <m:t>€</m:t>
              </m:r>
            </m:e>
            <m:sub>
              <m:r>
                <w:rPr>
                  <w:rFonts w:ascii="Cambria Math" w:hAnsi="Cambria Math" w:cs="Times New Roman"/>
                  <w:color w:val="000000" w:themeColor="text1"/>
                  <w:sz w:val="20"/>
                  <w:szCs w:val="20"/>
                </w:rPr>
                <m:t>t</m:t>
              </m:r>
            </m:sub>
          </m:sSub>
        </m:oMath>
      </m:oMathPara>
    </w:p>
    <w:p w:rsidR="00E538B0" w:rsidRPr="00851813" w:rsidRDefault="00C55F62" w:rsidP="00DB6CFA">
      <w:pPr>
        <w:spacing w:after="0" w:line="240" w:lineRule="auto"/>
        <w:rPr>
          <w:rFonts w:cs="Times New Roman"/>
          <w:color w:val="000000" w:themeColor="text1"/>
          <w:sz w:val="20"/>
          <w:szCs w:val="20"/>
        </w:rPr>
      </w:pPr>
      <w:r w:rsidRPr="00851813">
        <w:rPr>
          <w:rFonts w:cs="Times New Roman"/>
          <w:color w:val="000000" w:themeColor="text1"/>
          <w:sz w:val="20"/>
          <w:szCs w:val="20"/>
        </w:rPr>
        <w:t xml:space="preserve">The value of HHI lies between 0and 1. The export concentration ratio is high with HHI closer to 1 and low with HHI closer to zero. High export concentration implies low export diversification and vice-versa.  </w:t>
      </w:r>
    </w:p>
    <w:p w:rsidR="00E538B0" w:rsidRPr="00851813" w:rsidRDefault="004B7F99" w:rsidP="00DB6CFA">
      <w:pPr>
        <w:spacing w:after="0" w:line="240" w:lineRule="auto"/>
        <w:rPr>
          <w:rFonts w:cs="Times New Roman"/>
          <w:b/>
          <w:color w:val="000000" w:themeColor="text1"/>
          <w:sz w:val="20"/>
          <w:szCs w:val="20"/>
        </w:rPr>
      </w:pPr>
      <w:r w:rsidRPr="00851813">
        <w:rPr>
          <w:rFonts w:cs="Times New Roman"/>
          <w:b/>
          <w:color w:val="000000" w:themeColor="text1"/>
          <w:sz w:val="20"/>
          <w:szCs w:val="20"/>
        </w:rPr>
        <w:t>1.3.1</w:t>
      </w:r>
      <w:r w:rsidRPr="00851813">
        <w:rPr>
          <w:rFonts w:cs="Times New Roman"/>
          <w:b/>
          <w:color w:val="000000" w:themeColor="text1"/>
          <w:sz w:val="20"/>
          <w:szCs w:val="20"/>
        </w:rPr>
        <w:tab/>
      </w:r>
      <w:r w:rsidR="00E538B0" w:rsidRPr="00851813">
        <w:rPr>
          <w:rFonts w:cs="Times New Roman"/>
          <w:b/>
          <w:color w:val="000000" w:themeColor="text1"/>
          <w:sz w:val="20"/>
          <w:szCs w:val="20"/>
        </w:rPr>
        <w:t>Data Analysis t</w:t>
      </w:r>
      <w:r w:rsidR="00E538B0" w:rsidRPr="00851813">
        <w:rPr>
          <w:rFonts w:cs="Times New Roman"/>
          <w:b/>
          <w:sz w:val="20"/>
          <w:szCs w:val="20"/>
        </w:rPr>
        <w:t>o identify the factors that directly or indirectly affect the inflow of FDI in Malaysia</w:t>
      </w:r>
    </w:p>
    <w:p w:rsidR="00A361C0" w:rsidRPr="00851813" w:rsidRDefault="00A361C0" w:rsidP="00DB6CFA">
      <w:pPr>
        <w:spacing w:after="0" w:line="240" w:lineRule="auto"/>
        <w:rPr>
          <w:rFonts w:cs="Times New Roman"/>
          <w:sz w:val="20"/>
          <w:szCs w:val="20"/>
        </w:rPr>
      </w:pPr>
      <w:r w:rsidRPr="00851813">
        <w:rPr>
          <w:rFonts w:cs="Times New Roman"/>
          <w:sz w:val="20"/>
          <w:szCs w:val="20"/>
        </w:rPr>
        <w:t xml:space="preserve">Let </w:t>
      </w:r>
      <w:r w:rsidR="00283C2A" w:rsidRPr="00851813">
        <w:rPr>
          <w:rFonts w:cs="Times New Roman"/>
          <w:sz w:val="20"/>
          <w:szCs w:val="20"/>
        </w:rPr>
        <w:t>us observe</w:t>
      </w:r>
      <w:r w:rsidRPr="00851813">
        <w:rPr>
          <w:rFonts w:cs="Times New Roman"/>
          <w:sz w:val="20"/>
          <w:szCs w:val="20"/>
        </w:rPr>
        <w:t xml:space="preserve"> the following trend of the parameters graphically.</w:t>
      </w:r>
    </w:p>
    <w:p w:rsidR="00532E23" w:rsidRPr="00851813" w:rsidRDefault="00532E23" w:rsidP="00DB6CFA">
      <w:pPr>
        <w:spacing w:after="0" w:line="240" w:lineRule="auto"/>
        <w:rPr>
          <w:rFonts w:cs="Times New Roman"/>
          <w:b/>
          <w:sz w:val="20"/>
          <w:szCs w:val="20"/>
        </w:rPr>
      </w:pPr>
    </w:p>
    <w:p w:rsidR="00A361C0" w:rsidRPr="00851813" w:rsidRDefault="00A361C0" w:rsidP="00336294">
      <w:pPr>
        <w:spacing w:after="0" w:line="240" w:lineRule="auto"/>
        <w:jc w:val="center"/>
        <w:rPr>
          <w:rFonts w:cs="Times New Roman"/>
          <w:b/>
          <w:sz w:val="20"/>
          <w:szCs w:val="20"/>
        </w:rPr>
      </w:pPr>
      <w:r w:rsidRPr="00851813">
        <w:rPr>
          <w:rFonts w:cs="Times New Roman"/>
          <w:b/>
          <w:sz w:val="20"/>
          <w:szCs w:val="20"/>
        </w:rPr>
        <w:t xml:space="preserve">Figure </w:t>
      </w:r>
      <w:r w:rsidR="00532E23" w:rsidRPr="00851813">
        <w:rPr>
          <w:rFonts w:cs="Times New Roman"/>
          <w:b/>
          <w:sz w:val="20"/>
          <w:szCs w:val="20"/>
        </w:rPr>
        <w:t>2</w:t>
      </w:r>
      <w:r w:rsidRPr="00851813">
        <w:rPr>
          <w:rFonts w:cs="Times New Roman"/>
          <w:b/>
          <w:sz w:val="20"/>
          <w:szCs w:val="20"/>
        </w:rPr>
        <w:t>: Inflow of FDI over years in Malaysia</w:t>
      </w:r>
    </w:p>
    <w:p w:rsidR="00A361C0" w:rsidRPr="00851813" w:rsidRDefault="00A361C0" w:rsidP="00336294">
      <w:pPr>
        <w:spacing w:after="0" w:line="240" w:lineRule="auto"/>
        <w:jc w:val="center"/>
        <w:rPr>
          <w:rFonts w:cs="Times New Roman"/>
          <w:sz w:val="20"/>
          <w:szCs w:val="20"/>
        </w:rPr>
      </w:pPr>
      <w:r w:rsidRPr="00851813">
        <w:rPr>
          <w:rFonts w:cs="Times New Roman"/>
          <w:noProof/>
          <w:sz w:val="20"/>
          <w:szCs w:val="20"/>
          <w:lang w:val="en-US" w:bidi="hi-IN"/>
        </w:rPr>
        <w:drawing>
          <wp:inline distT="0" distB="0" distL="0" distR="0">
            <wp:extent cx="5112327" cy="17516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5114925" cy="1752500"/>
                    </a:xfrm>
                    <a:prstGeom prst="rect">
                      <a:avLst/>
                    </a:prstGeom>
                    <a:noFill/>
                    <a:ln w="9525">
                      <a:noFill/>
                      <a:miter lim="800000"/>
                      <a:headEnd/>
                      <a:tailEnd/>
                    </a:ln>
                  </pic:spPr>
                </pic:pic>
              </a:graphicData>
            </a:graphic>
          </wp:inline>
        </w:drawing>
      </w:r>
    </w:p>
    <w:p w:rsidR="00A361C0" w:rsidRPr="00851813" w:rsidRDefault="00A361C0" w:rsidP="00DB6CFA">
      <w:pPr>
        <w:spacing w:after="0" w:line="240" w:lineRule="auto"/>
        <w:rPr>
          <w:rFonts w:cs="Times New Roman"/>
          <w:sz w:val="20"/>
          <w:szCs w:val="20"/>
        </w:rPr>
      </w:pPr>
      <w:r w:rsidRPr="00851813">
        <w:rPr>
          <w:rFonts w:cs="Times New Roman"/>
          <w:sz w:val="20"/>
          <w:szCs w:val="20"/>
        </w:rPr>
        <w:lastRenderedPageBreak/>
        <w:t xml:space="preserve">From figure </w:t>
      </w:r>
      <w:r w:rsidR="00532E23" w:rsidRPr="00851813">
        <w:rPr>
          <w:rFonts w:cs="Times New Roman"/>
          <w:sz w:val="20"/>
          <w:szCs w:val="20"/>
        </w:rPr>
        <w:t>2</w:t>
      </w:r>
      <w:r w:rsidRPr="00851813">
        <w:rPr>
          <w:rFonts w:cs="Times New Roman"/>
          <w:sz w:val="20"/>
          <w:szCs w:val="20"/>
        </w:rPr>
        <w:t xml:space="preserve"> we can observe that FDI in flow in Malaysia follows an increasing trend from 2000 to 2008. However, in the year 2008 there was a sharp fall in inflow of FDI in the country. Probably, this is due to the global financial crisis that affects the entire world adversely. However, after 2008 onwards the country has experienced an increasing trend of FDI inflow with some minor fluctuations in 2013-14.</w:t>
      </w:r>
    </w:p>
    <w:p w:rsidR="00BB4B4D" w:rsidRDefault="00BB4B4D" w:rsidP="00DB6CFA">
      <w:pPr>
        <w:spacing w:after="0" w:line="240" w:lineRule="auto"/>
        <w:rPr>
          <w:rFonts w:cs="Times New Roman"/>
          <w:b/>
          <w:sz w:val="20"/>
          <w:szCs w:val="20"/>
        </w:rPr>
      </w:pPr>
    </w:p>
    <w:p w:rsidR="00A361C0" w:rsidRPr="00851813" w:rsidRDefault="00A361C0" w:rsidP="00BB4B4D">
      <w:pPr>
        <w:spacing w:after="0" w:line="240" w:lineRule="auto"/>
        <w:jc w:val="center"/>
        <w:rPr>
          <w:rFonts w:cs="Times New Roman"/>
          <w:b/>
          <w:sz w:val="20"/>
          <w:szCs w:val="20"/>
        </w:rPr>
      </w:pPr>
      <w:r w:rsidRPr="00851813">
        <w:rPr>
          <w:rFonts w:cs="Times New Roman"/>
          <w:b/>
          <w:sz w:val="20"/>
          <w:szCs w:val="20"/>
        </w:rPr>
        <w:t xml:space="preserve">Figure </w:t>
      </w:r>
      <w:r w:rsidR="00532E23" w:rsidRPr="00851813">
        <w:rPr>
          <w:rFonts w:cs="Times New Roman"/>
          <w:b/>
          <w:sz w:val="20"/>
          <w:szCs w:val="20"/>
        </w:rPr>
        <w:t>3</w:t>
      </w:r>
      <w:r w:rsidRPr="00851813">
        <w:rPr>
          <w:rFonts w:cs="Times New Roman"/>
          <w:b/>
          <w:sz w:val="20"/>
          <w:szCs w:val="20"/>
        </w:rPr>
        <w:t>: Growth rate of GDP in Malaysia over years</w:t>
      </w:r>
    </w:p>
    <w:p w:rsidR="00A361C0" w:rsidRPr="00851813" w:rsidRDefault="00A361C0" w:rsidP="00BB4B4D">
      <w:pPr>
        <w:spacing w:after="0" w:line="240" w:lineRule="auto"/>
        <w:jc w:val="center"/>
        <w:rPr>
          <w:rFonts w:cs="Times New Roman"/>
          <w:sz w:val="20"/>
          <w:szCs w:val="20"/>
        </w:rPr>
      </w:pPr>
      <w:r w:rsidRPr="00851813">
        <w:rPr>
          <w:rFonts w:cs="Times New Roman"/>
          <w:noProof/>
          <w:sz w:val="20"/>
          <w:szCs w:val="20"/>
          <w:lang w:val="en-US" w:bidi="hi-IN"/>
        </w:rPr>
        <w:drawing>
          <wp:inline distT="0" distB="0" distL="0" distR="0">
            <wp:extent cx="5112328" cy="257100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5114925" cy="2572313"/>
                    </a:xfrm>
                    <a:prstGeom prst="rect">
                      <a:avLst/>
                    </a:prstGeom>
                    <a:noFill/>
                    <a:ln w="9525">
                      <a:noFill/>
                      <a:miter lim="800000"/>
                      <a:headEnd/>
                      <a:tailEnd/>
                    </a:ln>
                  </pic:spPr>
                </pic:pic>
              </a:graphicData>
            </a:graphic>
          </wp:inline>
        </w:drawing>
      </w:r>
    </w:p>
    <w:p w:rsidR="00A361C0" w:rsidRPr="00851813" w:rsidRDefault="00532E23" w:rsidP="00DB6CFA">
      <w:pPr>
        <w:spacing w:after="0" w:line="240" w:lineRule="auto"/>
        <w:rPr>
          <w:rFonts w:cs="Times New Roman"/>
          <w:sz w:val="20"/>
          <w:szCs w:val="20"/>
        </w:rPr>
      </w:pPr>
      <w:r w:rsidRPr="00851813">
        <w:rPr>
          <w:rFonts w:cs="Times New Roman"/>
          <w:sz w:val="20"/>
          <w:szCs w:val="20"/>
        </w:rPr>
        <w:t>Figure 3</w:t>
      </w:r>
      <w:r w:rsidR="00A361C0" w:rsidRPr="00851813">
        <w:rPr>
          <w:rFonts w:cs="Times New Roman"/>
          <w:sz w:val="20"/>
          <w:szCs w:val="20"/>
        </w:rPr>
        <w:t xml:space="preserve"> shows the growth rate of GDP in Malaysia over years. From the figure we can see that GDP growth rate was following an increasing trend till 2008. However, in 2007-08 there was a sharp fall in GDP growth rate. From 2010 onwards again there was an increasing trend in GDP growth rate.</w:t>
      </w:r>
    </w:p>
    <w:p w:rsidR="00BB4B4D" w:rsidRDefault="00BB4B4D" w:rsidP="00DB6CFA">
      <w:pPr>
        <w:pStyle w:val="Heading2"/>
        <w:spacing w:before="0" w:line="240" w:lineRule="auto"/>
        <w:rPr>
          <w:rFonts w:ascii="Times New Roman" w:hAnsi="Times New Roman" w:cs="Times New Roman"/>
          <w:color w:val="000000" w:themeColor="text1"/>
          <w:sz w:val="20"/>
          <w:szCs w:val="20"/>
        </w:rPr>
      </w:pPr>
    </w:p>
    <w:p w:rsidR="00A361C0" w:rsidRPr="00851813" w:rsidRDefault="00A361C0" w:rsidP="00BB4B4D">
      <w:pPr>
        <w:pStyle w:val="Heading2"/>
        <w:spacing w:before="0" w:line="240" w:lineRule="auto"/>
        <w:jc w:val="center"/>
        <w:rPr>
          <w:rFonts w:ascii="Times New Roman" w:hAnsi="Times New Roman" w:cs="Times New Roman"/>
          <w:color w:val="000000" w:themeColor="text1"/>
          <w:sz w:val="20"/>
          <w:szCs w:val="20"/>
        </w:rPr>
      </w:pPr>
      <w:r w:rsidRPr="00851813">
        <w:rPr>
          <w:rFonts w:ascii="Times New Roman" w:hAnsi="Times New Roman" w:cs="Times New Roman"/>
          <w:color w:val="000000" w:themeColor="text1"/>
          <w:sz w:val="20"/>
          <w:szCs w:val="20"/>
        </w:rPr>
        <w:t>Figure</w:t>
      </w:r>
      <w:r w:rsidR="00532E23" w:rsidRPr="00851813">
        <w:rPr>
          <w:rFonts w:ascii="Times New Roman" w:hAnsi="Times New Roman" w:cs="Times New Roman"/>
          <w:color w:val="000000" w:themeColor="text1"/>
          <w:sz w:val="20"/>
          <w:szCs w:val="20"/>
        </w:rPr>
        <w:t xml:space="preserve"> 4</w:t>
      </w:r>
      <w:r w:rsidRPr="00851813">
        <w:rPr>
          <w:rFonts w:ascii="Times New Roman" w:hAnsi="Times New Roman" w:cs="Times New Roman"/>
          <w:color w:val="000000" w:themeColor="text1"/>
          <w:sz w:val="20"/>
          <w:szCs w:val="20"/>
        </w:rPr>
        <w:t>: Trend in tax rate in Malaysia over years</w:t>
      </w:r>
    </w:p>
    <w:p w:rsidR="00A361C0" w:rsidRPr="00851813" w:rsidRDefault="00A361C0" w:rsidP="00BB4B4D">
      <w:pPr>
        <w:pStyle w:val="Heading2"/>
        <w:spacing w:before="0" w:line="240" w:lineRule="auto"/>
        <w:jc w:val="center"/>
        <w:rPr>
          <w:rFonts w:ascii="Times New Roman" w:hAnsi="Times New Roman" w:cs="Times New Roman"/>
          <w:b w:val="0"/>
          <w:color w:val="000000" w:themeColor="text1"/>
          <w:sz w:val="20"/>
          <w:szCs w:val="20"/>
        </w:rPr>
      </w:pPr>
      <w:r w:rsidRPr="00851813">
        <w:rPr>
          <w:rFonts w:ascii="Times New Roman" w:hAnsi="Times New Roman" w:cs="Times New Roman"/>
          <w:b w:val="0"/>
          <w:noProof/>
          <w:color w:val="000000" w:themeColor="text1"/>
          <w:sz w:val="20"/>
          <w:szCs w:val="20"/>
          <w:lang w:bidi="hi-IN"/>
        </w:rPr>
        <w:drawing>
          <wp:inline distT="0" distB="0" distL="0" distR="0">
            <wp:extent cx="4667003" cy="341957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a:stretch>
                      <a:fillRect/>
                    </a:stretch>
                  </pic:blipFill>
                  <pic:spPr bwMode="auto">
                    <a:xfrm>
                      <a:off x="0" y="0"/>
                      <a:ext cx="4669374" cy="3421309"/>
                    </a:xfrm>
                    <a:prstGeom prst="rect">
                      <a:avLst/>
                    </a:prstGeom>
                    <a:noFill/>
                    <a:ln w="9525">
                      <a:noFill/>
                      <a:miter lim="800000"/>
                      <a:headEnd/>
                      <a:tailEnd/>
                    </a:ln>
                  </pic:spPr>
                </pic:pic>
              </a:graphicData>
            </a:graphic>
          </wp:inline>
        </w:drawing>
      </w:r>
    </w:p>
    <w:p w:rsidR="00A361C0" w:rsidRPr="00851813" w:rsidRDefault="00532E23" w:rsidP="00DB6CFA">
      <w:pPr>
        <w:spacing w:after="0" w:line="240" w:lineRule="auto"/>
        <w:rPr>
          <w:rFonts w:cs="Times New Roman"/>
          <w:b/>
          <w:sz w:val="20"/>
          <w:szCs w:val="20"/>
        </w:rPr>
      </w:pPr>
      <w:r w:rsidRPr="00851813">
        <w:rPr>
          <w:rFonts w:cs="Times New Roman"/>
          <w:sz w:val="20"/>
          <w:szCs w:val="20"/>
        </w:rPr>
        <w:t>Figure 4</w:t>
      </w:r>
      <w:r w:rsidR="00A361C0" w:rsidRPr="00851813">
        <w:rPr>
          <w:rFonts w:cs="Times New Roman"/>
          <w:sz w:val="20"/>
          <w:szCs w:val="20"/>
        </w:rPr>
        <w:t xml:space="preserve"> shows the trend in tax rate in Malaysia. From the line diagram we can see that, tax rate was very high during 2000-2005. However, in 2006 and 2010, there was a fall in tax rate in the country. Similarly, from 2014 onwards tax rate was very low compared to the previous years.</w:t>
      </w:r>
    </w:p>
    <w:p w:rsidR="00A361C0" w:rsidRPr="00851813" w:rsidRDefault="00A361C0" w:rsidP="00BB4B4D">
      <w:pPr>
        <w:pStyle w:val="Heading2"/>
        <w:spacing w:before="0" w:line="240" w:lineRule="auto"/>
        <w:jc w:val="center"/>
        <w:rPr>
          <w:rFonts w:ascii="Times New Roman" w:hAnsi="Times New Roman" w:cs="Times New Roman"/>
          <w:color w:val="000000" w:themeColor="text1"/>
          <w:sz w:val="20"/>
          <w:szCs w:val="20"/>
        </w:rPr>
      </w:pPr>
      <w:r w:rsidRPr="00851813">
        <w:rPr>
          <w:rFonts w:ascii="Times New Roman" w:hAnsi="Times New Roman" w:cs="Times New Roman"/>
          <w:color w:val="000000" w:themeColor="text1"/>
          <w:sz w:val="20"/>
          <w:szCs w:val="20"/>
        </w:rPr>
        <w:lastRenderedPageBreak/>
        <w:t xml:space="preserve">Figure </w:t>
      </w:r>
      <w:r w:rsidR="00532E23" w:rsidRPr="00851813">
        <w:rPr>
          <w:rFonts w:ascii="Times New Roman" w:hAnsi="Times New Roman" w:cs="Times New Roman"/>
          <w:color w:val="000000" w:themeColor="text1"/>
          <w:sz w:val="20"/>
          <w:szCs w:val="20"/>
        </w:rPr>
        <w:t>5</w:t>
      </w:r>
      <w:r w:rsidRPr="00851813">
        <w:rPr>
          <w:rFonts w:ascii="Times New Roman" w:hAnsi="Times New Roman" w:cs="Times New Roman"/>
          <w:color w:val="000000" w:themeColor="text1"/>
          <w:sz w:val="20"/>
          <w:szCs w:val="20"/>
        </w:rPr>
        <w:t>: Trend in inflation rate over years</w:t>
      </w:r>
    </w:p>
    <w:p w:rsidR="00A361C0" w:rsidRPr="00851813" w:rsidRDefault="00A361C0" w:rsidP="00BB4B4D">
      <w:pPr>
        <w:pStyle w:val="Heading2"/>
        <w:spacing w:before="0" w:line="240" w:lineRule="auto"/>
        <w:jc w:val="center"/>
        <w:rPr>
          <w:rFonts w:ascii="Times New Roman" w:hAnsi="Times New Roman" w:cs="Times New Roman"/>
          <w:b w:val="0"/>
          <w:color w:val="000000" w:themeColor="text1"/>
          <w:sz w:val="20"/>
          <w:szCs w:val="20"/>
        </w:rPr>
      </w:pPr>
      <w:r w:rsidRPr="00851813">
        <w:rPr>
          <w:rFonts w:ascii="Times New Roman" w:hAnsi="Times New Roman" w:cs="Times New Roman"/>
          <w:b w:val="0"/>
          <w:noProof/>
          <w:color w:val="000000" w:themeColor="text1"/>
          <w:sz w:val="20"/>
          <w:szCs w:val="20"/>
          <w:lang w:bidi="hi-IN"/>
        </w:rPr>
        <w:drawing>
          <wp:inline distT="0" distB="0" distL="0" distR="0">
            <wp:extent cx="5112328" cy="30994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a:stretch>
                      <a:fillRect/>
                    </a:stretch>
                  </pic:blipFill>
                  <pic:spPr bwMode="auto">
                    <a:xfrm>
                      <a:off x="0" y="0"/>
                      <a:ext cx="5114925" cy="3101034"/>
                    </a:xfrm>
                    <a:prstGeom prst="rect">
                      <a:avLst/>
                    </a:prstGeom>
                    <a:noFill/>
                    <a:ln w="9525">
                      <a:noFill/>
                      <a:miter lim="800000"/>
                      <a:headEnd/>
                      <a:tailEnd/>
                    </a:ln>
                  </pic:spPr>
                </pic:pic>
              </a:graphicData>
            </a:graphic>
          </wp:inline>
        </w:drawing>
      </w:r>
    </w:p>
    <w:p w:rsidR="00A361C0" w:rsidRPr="00851813" w:rsidRDefault="00532E23" w:rsidP="00DB6CFA">
      <w:pPr>
        <w:spacing w:after="0" w:line="240" w:lineRule="auto"/>
        <w:rPr>
          <w:rFonts w:cs="Times New Roman"/>
          <w:b/>
          <w:sz w:val="20"/>
          <w:szCs w:val="20"/>
        </w:rPr>
      </w:pPr>
      <w:r w:rsidRPr="00851813">
        <w:rPr>
          <w:rFonts w:cs="Times New Roman"/>
          <w:b/>
          <w:sz w:val="20"/>
          <w:szCs w:val="20"/>
        </w:rPr>
        <w:t>Figure 5</w:t>
      </w:r>
      <w:r w:rsidR="00A361C0" w:rsidRPr="00851813">
        <w:rPr>
          <w:rFonts w:cs="Times New Roman"/>
          <w:sz w:val="20"/>
          <w:szCs w:val="20"/>
        </w:rPr>
        <w:t xml:space="preserve"> shows the trend in inflation rate in the country over years. From the line diagram we can see that the trend inflation in the country is fluctuating over years. However, the fluctuation is highest in the year 2008-09.</w:t>
      </w:r>
    </w:p>
    <w:p w:rsidR="00AE2539" w:rsidRDefault="00AE2539" w:rsidP="00DB6CFA">
      <w:pPr>
        <w:spacing w:after="0" w:line="240" w:lineRule="auto"/>
        <w:rPr>
          <w:rFonts w:cs="Times New Roman"/>
          <w:b/>
          <w:color w:val="000000" w:themeColor="text1"/>
          <w:sz w:val="20"/>
          <w:szCs w:val="20"/>
        </w:rPr>
      </w:pPr>
    </w:p>
    <w:p w:rsidR="00FE2C72" w:rsidRPr="00851813" w:rsidRDefault="00532E23" w:rsidP="00AE2539">
      <w:pPr>
        <w:spacing w:after="0" w:line="240" w:lineRule="auto"/>
        <w:jc w:val="center"/>
        <w:rPr>
          <w:rFonts w:cs="Times New Roman"/>
          <w:b/>
          <w:color w:val="000000" w:themeColor="text1"/>
          <w:sz w:val="20"/>
          <w:szCs w:val="20"/>
        </w:rPr>
      </w:pPr>
      <w:r w:rsidRPr="00851813">
        <w:rPr>
          <w:rFonts w:cs="Times New Roman"/>
          <w:b/>
          <w:color w:val="000000" w:themeColor="text1"/>
          <w:sz w:val="20"/>
          <w:szCs w:val="20"/>
        </w:rPr>
        <w:t>Table 2</w:t>
      </w:r>
      <w:r w:rsidR="004B7F99" w:rsidRPr="00851813">
        <w:rPr>
          <w:rFonts w:cs="Times New Roman"/>
          <w:b/>
          <w:color w:val="000000" w:themeColor="text1"/>
          <w:sz w:val="20"/>
          <w:szCs w:val="20"/>
        </w:rPr>
        <w:t>:</w:t>
      </w:r>
      <w:r w:rsidR="00283C2A" w:rsidRPr="00851813">
        <w:rPr>
          <w:rFonts w:cs="Times New Roman"/>
          <w:b/>
          <w:color w:val="000000" w:themeColor="text1"/>
          <w:sz w:val="20"/>
          <w:szCs w:val="20"/>
        </w:rPr>
        <w:t xml:space="preserve"> </w:t>
      </w:r>
      <w:r w:rsidR="004B7F99" w:rsidRPr="00851813">
        <w:rPr>
          <w:rFonts w:cs="Times New Roman"/>
          <w:b/>
          <w:color w:val="000000" w:themeColor="text1"/>
          <w:sz w:val="20"/>
          <w:szCs w:val="20"/>
        </w:rPr>
        <w:t>GLS Regression result</w:t>
      </w:r>
    </w:p>
    <w:tbl>
      <w:tblPr>
        <w:tblW w:w="7609" w:type="dxa"/>
        <w:jc w:val="center"/>
        <w:tblCellMar>
          <w:left w:w="0" w:type="dxa"/>
          <w:right w:w="0" w:type="dxa"/>
        </w:tblCellMar>
        <w:tblLook w:val="04A0"/>
      </w:tblPr>
      <w:tblGrid>
        <w:gridCol w:w="1745"/>
        <w:gridCol w:w="1671"/>
        <w:gridCol w:w="2083"/>
        <w:gridCol w:w="2110"/>
      </w:tblGrid>
      <w:tr w:rsidR="005775A3" w:rsidRPr="00E704F5" w:rsidTr="00E704F5">
        <w:trPr>
          <w:trHeight w:val="145"/>
          <w:jc w:val="center"/>
        </w:trPr>
        <w:tc>
          <w:tcPr>
            <w:tcW w:w="174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775A3" w:rsidRPr="00E704F5" w:rsidRDefault="005775A3" w:rsidP="00DB6CFA">
            <w:pPr>
              <w:spacing w:after="0" w:line="240" w:lineRule="auto"/>
              <w:rPr>
                <w:rFonts w:eastAsia="Times New Roman" w:cs="Times New Roman"/>
                <w:sz w:val="16"/>
                <w:szCs w:val="20"/>
                <w:lang w:val="en-US"/>
              </w:rPr>
            </w:pPr>
            <w:r w:rsidRPr="00E704F5">
              <w:rPr>
                <w:rFonts w:eastAsia="Times New Roman" w:cs="Times New Roman"/>
                <w:b/>
                <w:bCs/>
                <w:color w:val="000000"/>
                <w:kern w:val="24"/>
                <w:sz w:val="16"/>
                <w:szCs w:val="20"/>
                <w:lang w:val="en-US"/>
              </w:rPr>
              <w:t>Variables</w:t>
            </w:r>
            <w:r w:rsidRPr="00E704F5">
              <w:rPr>
                <w:rFonts w:eastAsia="Calibri" w:cs="Times New Roman"/>
                <w:b/>
                <w:bCs/>
                <w:color w:val="000000"/>
                <w:kern w:val="24"/>
                <w:sz w:val="16"/>
                <w:szCs w:val="20"/>
              </w:rPr>
              <w:t xml:space="preserve"> </w:t>
            </w:r>
          </w:p>
        </w:tc>
        <w:tc>
          <w:tcPr>
            <w:tcW w:w="167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775A3" w:rsidRPr="00E704F5" w:rsidRDefault="005775A3" w:rsidP="00DB6CFA">
            <w:pPr>
              <w:spacing w:after="0" w:line="240" w:lineRule="auto"/>
              <w:rPr>
                <w:rFonts w:eastAsia="Times New Roman" w:cs="Times New Roman"/>
                <w:sz w:val="16"/>
                <w:szCs w:val="20"/>
                <w:lang w:val="en-US"/>
              </w:rPr>
            </w:pPr>
            <w:r w:rsidRPr="00E704F5">
              <w:rPr>
                <w:rFonts w:eastAsia="Times New Roman" w:cs="Times New Roman"/>
                <w:b/>
                <w:bCs/>
                <w:color w:val="000000"/>
                <w:kern w:val="24"/>
                <w:sz w:val="16"/>
                <w:szCs w:val="20"/>
                <w:lang w:val="en-US"/>
              </w:rPr>
              <w:t>Coefficient</w:t>
            </w:r>
            <w:r w:rsidRPr="00E704F5">
              <w:rPr>
                <w:rFonts w:eastAsia="Calibri" w:cs="Times New Roman"/>
                <w:b/>
                <w:bCs/>
                <w:color w:val="000000"/>
                <w:kern w:val="24"/>
                <w:sz w:val="16"/>
                <w:szCs w:val="20"/>
              </w:rPr>
              <w:t xml:space="preserve"> </w:t>
            </w:r>
          </w:p>
        </w:tc>
        <w:tc>
          <w:tcPr>
            <w:tcW w:w="20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775A3" w:rsidRPr="00E704F5" w:rsidRDefault="005775A3" w:rsidP="00DB6CFA">
            <w:pPr>
              <w:spacing w:after="0" w:line="240" w:lineRule="auto"/>
              <w:rPr>
                <w:rFonts w:eastAsia="Times New Roman" w:cs="Times New Roman"/>
                <w:sz w:val="16"/>
                <w:szCs w:val="20"/>
                <w:lang w:val="en-US"/>
              </w:rPr>
            </w:pPr>
            <w:r w:rsidRPr="00E704F5">
              <w:rPr>
                <w:rFonts w:eastAsia="Times New Roman" w:cs="Times New Roman"/>
                <w:b/>
                <w:bCs/>
                <w:color w:val="000000"/>
                <w:kern w:val="24"/>
                <w:sz w:val="16"/>
                <w:szCs w:val="20"/>
                <w:lang w:val="en-US"/>
              </w:rPr>
              <w:t>Interval</w:t>
            </w:r>
            <w:r w:rsidRPr="00E704F5">
              <w:rPr>
                <w:rFonts w:eastAsia="Calibri" w:cs="Times New Roman"/>
                <w:b/>
                <w:bCs/>
                <w:color w:val="000000"/>
                <w:kern w:val="24"/>
                <w:sz w:val="16"/>
                <w:szCs w:val="20"/>
              </w:rPr>
              <w:t xml:space="preserve"> </w:t>
            </w:r>
          </w:p>
          <w:p w:rsidR="005775A3" w:rsidRPr="00E704F5" w:rsidRDefault="005775A3" w:rsidP="00DB6CFA">
            <w:pPr>
              <w:spacing w:after="0" w:line="240" w:lineRule="auto"/>
              <w:rPr>
                <w:rFonts w:eastAsia="Times New Roman" w:cs="Times New Roman"/>
                <w:sz w:val="16"/>
                <w:szCs w:val="20"/>
                <w:lang w:val="en-US"/>
              </w:rPr>
            </w:pPr>
            <w:r w:rsidRPr="00E704F5">
              <w:rPr>
                <w:rFonts w:eastAsia="Times New Roman" w:cs="Times New Roman"/>
                <w:b/>
                <w:bCs/>
                <w:color w:val="000000"/>
                <w:kern w:val="24"/>
                <w:sz w:val="16"/>
                <w:szCs w:val="20"/>
                <w:lang w:val="en-US"/>
              </w:rPr>
              <w:t>(minimum)</w:t>
            </w:r>
            <w:r w:rsidRPr="00E704F5">
              <w:rPr>
                <w:rFonts w:eastAsia="Calibri" w:cs="Times New Roman"/>
                <w:b/>
                <w:bCs/>
                <w:color w:val="000000"/>
                <w:kern w:val="24"/>
                <w:sz w:val="16"/>
                <w:szCs w:val="20"/>
              </w:rPr>
              <w:t xml:space="preserve"> </w:t>
            </w:r>
          </w:p>
        </w:tc>
        <w:tc>
          <w:tcPr>
            <w:tcW w:w="21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775A3" w:rsidRPr="00E704F5" w:rsidRDefault="005775A3" w:rsidP="00DB6CFA">
            <w:pPr>
              <w:spacing w:after="0" w:line="240" w:lineRule="auto"/>
              <w:rPr>
                <w:rFonts w:eastAsia="Times New Roman" w:cs="Times New Roman"/>
                <w:sz w:val="16"/>
                <w:szCs w:val="20"/>
                <w:lang w:val="en-US"/>
              </w:rPr>
            </w:pPr>
            <w:r w:rsidRPr="00E704F5">
              <w:rPr>
                <w:rFonts w:eastAsia="Times New Roman" w:cs="Times New Roman"/>
                <w:b/>
                <w:bCs/>
                <w:color w:val="000000"/>
                <w:kern w:val="24"/>
                <w:sz w:val="16"/>
                <w:szCs w:val="20"/>
                <w:lang w:val="en-US"/>
              </w:rPr>
              <w:t>Interval</w:t>
            </w:r>
            <w:r w:rsidRPr="00E704F5">
              <w:rPr>
                <w:rFonts w:eastAsia="Calibri" w:cs="Times New Roman"/>
                <w:b/>
                <w:bCs/>
                <w:color w:val="000000"/>
                <w:kern w:val="24"/>
                <w:sz w:val="16"/>
                <w:szCs w:val="20"/>
              </w:rPr>
              <w:t xml:space="preserve"> </w:t>
            </w:r>
          </w:p>
          <w:p w:rsidR="005775A3" w:rsidRPr="00E704F5" w:rsidRDefault="005775A3" w:rsidP="00DB6CFA">
            <w:pPr>
              <w:spacing w:after="0" w:line="240" w:lineRule="auto"/>
              <w:rPr>
                <w:rFonts w:eastAsia="Times New Roman" w:cs="Times New Roman"/>
                <w:sz w:val="16"/>
                <w:szCs w:val="20"/>
                <w:lang w:val="en-US"/>
              </w:rPr>
            </w:pPr>
            <w:r w:rsidRPr="00E704F5">
              <w:rPr>
                <w:rFonts w:eastAsia="Times New Roman" w:cs="Times New Roman"/>
                <w:b/>
                <w:bCs/>
                <w:color w:val="000000"/>
                <w:kern w:val="24"/>
                <w:sz w:val="16"/>
                <w:szCs w:val="20"/>
                <w:lang w:val="en-US"/>
              </w:rPr>
              <w:t>(</w:t>
            </w:r>
            <w:r w:rsidR="00EC2275" w:rsidRPr="00E704F5">
              <w:rPr>
                <w:rFonts w:eastAsia="Times New Roman" w:cs="Times New Roman"/>
                <w:b/>
                <w:bCs/>
                <w:color w:val="000000"/>
                <w:kern w:val="24"/>
                <w:sz w:val="16"/>
                <w:szCs w:val="20"/>
                <w:lang w:val="en-US"/>
              </w:rPr>
              <w:t>maximum</w:t>
            </w:r>
            <w:r w:rsidRPr="00E704F5">
              <w:rPr>
                <w:rFonts w:eastAsia="Times New Roman" w:cs="Times New Roman"/>
                <w:b/>
                <w:bCs/>
                <w:color w:val="000000"/>
                <w:kern w:val="24"/>
                <w:sz w:val="16"/>
                <w:szCs w:val="20"/>
                <w:lang w:val="en-US"/>
              </w:rPr>
              <w:t>)</w:t>
            </w:r>
            <w:r w:rsidRPr="00E704F5">
              <w:rPr>
                <w:rFonts w:eastAsia="Calibri" w:cs="Times New Roman"/>
                <w:b/>
                <w:bCs/>
                <w:color w:val="000000"/>
                <w:kern w:val="24"/>
                <w:sz w:val="16"/>
                <w:szCs w:val="20"/>
              </w:rPr>
              <w:t xml:space="preserve"> </w:t>
            </w:r>
          </w:p>
        </w:tc>
      </w:tr>
      <w:tr w:rsidR="005775A3" w:rsidRPr="00E704F5" w:rsidTr="00E704F5">
        <w:trPr>
          <w:trHeight w:val="22"/>
          <w:jc w:val="center"/>
        </w:trPr>
        <w:tc>
          <w:tcPr>
            <w:tcW w:w="174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775A3" w:rsidRPr="00E704F5" w:rsidRDefault="005775A3" w:rsidP="00DB6CFA">
            <w:pPr>
              <w:spacing w:after="0" w:line="240" w:lineRule="auto"/>
              <w:rPr>
                <w:rFonts w:eastAsia="Times New Roman" w:cs="Times New Roman"/>
                <w:sz w:val="16"/>
                <w:szCs w:val="20"/>
                <w:lang w:val="en-US"/>
              </w:rPr>
            </w:pPr>
            <w:r w:rsidRPr="00E704F5">
              <w:rPr>
                <w:rFonts w:eastAsia="Times New Roman" w:cs="Times New Roman"/>
                <w:b/>
                <w:bCs/>
                <w:color w:val="000000"/>
                <w:kern w:val="24"/>
                <w:sz w:val="16"/>
                <w:szCs w:val="20"/>
                <w:lang w:val="en-US"/>
              </w:rPr>
              <w:t>GDP</w:t>
            </w:r>
            <w:r w:rsidRPr="00E704F5">
              <w:rPr>
                <w:rFonts w:eastAsia="Calibri" w:cs="Times New Roman"/>
                <w:b/>
                <w:bCs/>
                <w:color w:val="000000"/>
                <w:kern w:val="24"/>
                <w:sz w:val="16"/>
                <w:szCs w:val="20"/>
              </w:rPr>
              <w:t xml:space="preserve"> </w:t>
            </w:r>
          </w:p>
        </w:tc>
        <w:tc>
          <w:tcPr>
            <w:tcW w:w="167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775A3" w:rsidRPr="00E704F5" w:rsidRDefault="005775A3" w:rsidP="00DB6CFA">
            <w:pPr>
              <w:spacing w:after="0" w:line="240" w:lineRule="auto"/>
              <w:rPr>
                <w:rFonts w:eastAsia="Times New Roman" w:cs="Times New Roman"/>
                <w:sz w:val="16"/>
                <w:szCs w:val="20"/>
                <w:lang w:val="en-US"/>
              </w:rPr>
            </w:pPr>
            <w:r w:rsidRPr="00E704F5">
              <w:rPr>
                <w:rFonts w:eastAsia="Times New Roman" w:cs="Times New Roman"/>
                <w:color w:val="000000"/>
                <w:kern w:val="24"/>
                <w:sz w:val="16"/>
                <w:szCs w:val="20"/>
                <w:lang w:val="en-US"/>
              </w:rPr>
              <w:t>8.73e+07*</w:t>
            </w:r>
          </w:p>
          <w:p w:rsidR="005775A3" w:rsidRPr="00E704F5" w:rsidRDefault="005775A3" w:rsidP="00DB6CFA">
            <w:pPr>
              <w:spacing w:after="0" w:line="240" w:lineRule="auto"/>
              <w:rPr>
                <w:rFonts w:eastAsia="Times New Roman" w:cs="Times New Roman"/>
                <w:sz w:val="16"/>
                <w:szCs w:val="20"/>
                <w:lang w:val="en-US"/>
              </w:rPr>
            </w:pPr>
            <w:r w:rsidRPr="00E704F5">
              <w:rPr>
                <w:rFonts w:eastAsia="Calibri" w:cs="Times New Roman"/>
                <w:color w:val="000000"/>
                <w:kern w:val="24"/>
                <w:sz w:val="16"/>
                <w:szCs w:val="20"/>
                <w:lang w:val="en-US"/>
              </w:rPr>
              <w:t>(</w:t>
            </w:r>
            <w:r w:rsidRPr="00E704F5">
              <w:rPr>
                <w:rFonts w:eastAsia="Times New Roman" w:cs="Times New Roman"/>
                <w:color w:val="000000"/>
                <w:kern w:val="24"/>
                <w:sz w:val="16"/>
                <w:szCs w:val="20"/>
                <w:lang w:val="en-US"/>
              </w:rPr>
              <w:t>4.48e+08</w:t>
            </w:r>
            <w:r w:rsidRPr="00E704F5">
              <w:rPr>
                <w:rFonts w:eastAsia="Calibri" w:cs="Times New Roman"/>
                <w:color w:val="000000"/>
                <w:kern w:val="24"/>
                <w:sz w:val="16"/>
                <w:szCs w:val="20"/>
                <w:lang w:val="en-US"/>
              </w:rPr>
              <w:t>)</w:t>
            </w:r>
            <w:r w:rsidRPr="00E704F5">
              <w:rPr>
                <w:rFonts w:eastAsia="Calibri" w:cs="Times New Roman"/>
                <w:color w:val="000000"/>
                <w:kern w:val="24"/>
                <w:sz w:val="16"/>
                <w:szCs w:val="20"/>
              </w:rPr>
              <w:t xml:space="preserve"> </w:t>
            </w:r>
          </w:p>
        </w:tc>
        <w:tc>
          <w:tcPr>
            <w:tcW w:w="20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775A3" w:rsidRPr="00E704F5" w:rsidRDefault="005775A3" w:rsidP="00DB6CFA">
            <w:pPr>
              <w:spacing w:after="0" w:line="240" w:lineRule="auto"/>
              <w:rPr>
                <w:rFonts w:eastAsia="Times New Roman" w:cs="Times New Roman"/>
                <w:sz w:val="16"/>
                <w:szCs w:val="20"/>
                <w:lang w:val="en-US"/>
              </w:rPr>
            </w:pPr>
            <w:r w:rsidRPr="00E704F5">
              <w:rPr>
                <w:rFonts w:eastAsia="Times New Roman" w:cs="Times New Roman"/>
                <w:color w:val="000000"/>
                <w:kern w:val="24"/>
                <w:sz w:val="16"/>
                <w:szCs w:val="20"/>
                <w:lang w:val="en-US"/>
              </w:rPr>
              <w:t xml:space="preserve">-7.91e+08 </w:t>
            </w:r>
          </w:p>
        </w:tc>
        <w:tc>
          <w:tcPr>
            <w:tcW w:w="21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775A3" w:rsidRPr="00E704F5" w:rsidRDefault="005775A3" w:rsidP="00DB6CFA">
            <w:pPr>
              <w:spacing w:after="0" w:line="240" w:lineRule="auto"/>
              <w:rPr>
                <w:rFonts w:eastAsia="Times New Roman" w:cs="Times New Roman"/>
                <w:sz w:val="16"/>
                <w:szCs w:val="20"/>
                <w:lang w:val="en-US"/>
              </w:rPr>
            </w:pPr>
            <w:r w:rsidRPr="00E704F5">
              <w:rPr>
                <w:rFonts w:eastAsia="Times New Roman" w:cs="Times New Roman"/>
                <w:color w:val="000000"/>
                <w:kern w:val="24"/>
                <w:sz w:val="16"/>
                <w:szCs w:val="20"/>
                <w:lang w:val="en-US"/>
              </w:rPr>
              <w:t>9.66e+08</w:t>
            </w:r>
            <w:r w:rsidRPr="00E704F5">
              <w:rPr>
                <w:rFonts w:eastAsia="Calibri" w:cs="Times New Roman"/>
                <w:color w:val="000000"/>
                <w:kern w:val="24"/>
                <w:sz w:val="16"/>
                <w:szCs w:val="20"/>
              </w:rPr>
              <w:t xml:space="preserve"> </w:t>
            </w:r>
          </w:p>
        </w:tc>
      </w:tr>
      <w:tr w:rsidR="005775A3" w:rsidRPr="00E704F5" w:rsidTr="00E704F5">
        <w:trPr>
          <w:trHeight w:val="22"/>
          <w:jc w:val="center"/>
        </w:trPr>
        <w:tc>
          <w:tcPr>
            <w:tcW w:w="174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775A3" w:rsidRPr="00E704F5" w:rsidRDefault="005775A3" w:rsidP="00DB6CFA">
            <w:pPr>
              <w:spacing w:after="0" w:line="240" w:lineRule="auto"/>
              <w:rPr>
                <w:rFonts w:eastAsia="Times New Roman" w:cs="Times New Roman"/>
                <w:sz w:val="16"/>
                <w:szCs w:val="20"/>
                <w:lang w:val="en-US"/>
              </w:rPr>
            </w:pPr>
            <w:r w:rsidRPr="00E704F5">
              <w:rPr>
                <w:rFonts w:eastAsia="Times New Roman" w:cs="Times New Roman"/>
                <w:b/>
                <w:bCs/>
                <w:color w:val="000000"/>
                <w:kern w:val="24"/>
                <w:sz w:val="16"/>
                <w:szCs w:val="20"/>
                <w:lang w:val="en-US"/>
              </w:rPr>
              <w:t>INF</w:t>
            </w:r>
            <w:r w:rsidRPr="00E704F5">
              <w:rPr>
                <w:rFonts w:eastAsia="Calibri" w:cs="Times New Roman"/>
                <w:b/>
                <w:bCs/>
                <w:color w:val="000000"/>
                <w:kern w:val="24"/>
                <w:sz w:val="16"/>
                <w:szCs w:val="20"/>
              </w:rPr>
              <w:t xml:space="preserve"> </w:t>
            </w:r>
          </w:p>
        </w:tc>
        <w:tc>
          <w:tcPr>
            <w:tcW w:w="167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775A3" w:rsidRPr="00E704F5" w:rsidRDefault="005775A3" w:rsidP="00DB6CFA">
            <w:pPr>
              <w:spacing w:after="0" w:line="240" w:lineRule="auto"/>
              <w:rPr>
                <w:rFonts w:eastAsia="Times New Roman" w:cs="Times New Roman"/>
                <w:sz w:val="16"/>
                <w:szCs w:val="20"/>
                <w:lang w:val="en-US"/>
              </w:rPr>
            </w:pPr>
            <w:r w:rsidRPr="00E704F5">
              <w:rPr>
                <w:rFonts w:eastAsia="Times New Roman" w:cs="Times New Roman"/>
                <w:color w:val="000000"/>
                <w:kern w:val="24"/>
                <w:sz w:val="16"/>
                <w:szCs w:val="20"/>
                <w:lang w:val="en-US"/>
              </w:rPr>
              <w:t>3.86e+08</w:t>
            </w:r>
          </w:p>
          <w:p w:rsidR="005775A3" w:rsidRPr="00E704F5" w:rsidRDefault="005775A3" w:rsidP="00DB6CFA">
            <w:pPr>
              <w:spacing w:after="0" w:line="240" w:lineRule="auto"/>
              <w:rPr>
                <w:rFonts w:eastAsia="Times New Roman" w:cs="Times New Roman"/>
                <w:sz w:val="16"/>
                <w:szCs w:val="20"/>
                <w:lang w:val="en-US"/>
              </w:rPr>
            </w:pPr>
            <w:r w:rsidRPr="00E704F5">
              <w:rPr>
                <w:rFonts w:eastAsia="Calibri" w:cs="Times New Roman"/>
                <w:color w:val="000000"/>
                <w:kern w:val="24"/>
                <w:sz w:val="16"/>
                <w:szCs w:val="20"/>
                <w:lang w:val="en-US"/>
              </w:rPr>
              <w:t>(</w:t>
            </w:r>
            <w:r w:rsidRPr="00E704F5">
              <w:rPr>
                <w:rFonts w:eastAsia="Times New Roman" w:cs="Times New Roman"/>
                <w:color w:val="000000"/>
                <w:kern w:val="24"/>
                <w:sz w:val="16"/>
                <w:szCs w:val="20"/>
                <w:lang w:val="en-US"/>
              </w:rPr>
              <w:t>2.36e+08</w:t>
            </w:r>
            <w:r w:rsidRPr="00E704F5">
              <w:rPr>
                <w:rFonts w:eastAsia="Calibri" w:cs="Times New Roman"/>
                <w:color w:val="000000"/>
                <w:kern w:val="24"/>
                <w:sz w:val="16"/>
                <w:szCs w:val="20"/>
                <w:lang w:val="en-US"/>
              </w:rPr>
              <w:t>)</w:t>
            </w:r>
            <w:r w:rsidRPr="00E704F5">
              <w:rPr>
                <w:rFonts w:eastAsia="Calibri" w:cs="Times New Roman"/>
                <w:color w:val="000000"/>
                <w:kern w:val="24"/>
                <w:sz w:val="16"/>
                <w:szCs w:val="20"/>
              </w:rPr>
              <w:t xml:space="preserve"> </w:t>
            </w:r>
          </w:p>
        </w:tc>
        <w:tc>
          <w:tcPr>
            <w:tcW w:w="20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775A3" w:rsidRPr="00E704F5" w:rsidRDefault="005775A3" w:rsidP="00DB6CFA">
            <w:pPr>
              <w:spacing w:after="0" w:line="240" w:lineRule="auto"/>
              <w:rPr>
                <w:rFonts w:eastAsia="Times New Roman" w:cs="Times New Roman"/>
                <w:sz w:val="16"/>
                <w:szCs w:val="20"/>
                <w:lang w:val="en-US"/>
              </w:rPr>
            </w:pPr>
            <w:r w:rsidRPr="00E704F5">
              <w:rPr>
                <w:rFonts w:eastAsia="Times New Roman" w:cs="Times New Roman"/>
                <w:color w:val="000000"/>
                <w:kern w:val="24"/>
                <w:sz w:val="16"/>
                <w:szCs w:val="20"/>
                <w:lang w:val="en-US"/>
              </w:rPr>
              <w:t xml:space="preserve">-7.61e+07 </w:t>
            </w:r>
          </w:p>
        </w:tc>
        <w:tc>
          <w:tcPr>
            <w:tcW w:w="21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775A3" w:rsidRPr="00E704F5" w:rsidRDefault="005775A3" w:rsidP="00DB6CFA">
            <w:pPr>
              <w:spacing w:after="0" w:line="240" w:lineRule="auto"/>
              <w:rPr>
                <w:rFonts w:eastAsia="Times New Roman" w:cs="Times New Roman"/>
                <w:sz w:val="16"/>
                <w:szCs w:val="20"/>
                <w:lang w:val="en-US"/>
              </w:rPr>
            </w:pPr>
            <w:r w:rsidRPr="00E704F5">
              <w:rPr>
                <w:rFonts w:eastAsia="Times New Roman" w:cs="Times New Roman"/>
                <w:color w:val="000000"/>
                <w:kern w:val="24"/>
                <w:sz w:val="16"/>
                <w:szCs w:val="20"/>
                <w:lang w:val="en-US"/>
              </w:rPr>
              <w:t>8.48e+08</w:t>
            </w:r>
            <w:r w:rsidRPr="00E704F5">
              <w:rPr>
                <w:rFonts w:eastAsia="Calibri" w:cs="Times New Roman"/>
                <w:color w:val="000000"/>
                <w:kern w:val="24"/>
                <w:sz w:val="16"/>
                <w:szCs w:val="20"/>
              </w:rPr>
              <w:t xml:space="preserve"> </w:t>
            </w:r>
          </w:p>
        </w:tc>
      </w:tr>
      <w:tr w:rsidR="005775A3" w:rsidRPr="00E704F5" w:rsidTr="00E704F5">
        <w:trPr>
          <w:trHeight w:val="22"/>
          <w:jc w:val="center"/>
        </w:trPr>
        <w:tc>
          <w:tcPr>
            <w:tcW w:w="174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775A3" w:rsidRPr="00E704F5" w:rsidRDefault="005775A3" w:rsidP="00DB6CFA">
            <w:pPr>
              <w:spacing w:after="0" w:line="240" w:lineRule="auto"/>
              <w:rPr>
                <w:rFonts w:eastAsia="Times New Roman" w:cs="Times New Roman"/>
                <w:sz w:val="16"/>
                <w:szCs w:val="20"/>
                <w:lang w:val="en-US"/>
              </w:rPr>
            </w:pPr>
            <w:r w:rsidRPr="00E704F5">
              <w:rPr>
                <w:rFonts w:eastAsia="Times New Roman" w:cs="Times New Roman"/>
                <w:b/>
                <w:bCs/>
                <w:color w:val="000000"/>
                <w:kern w:val="24"/>
                <w:sz w:val="16"/>
                <w:szCs w:val="20"/>
                <w:lang w:val="en-US"/>
              </w:rPr>
              <w:t>Time</w:t>
            </w:r>
            <w:r w:rsidRPr="00E704F5">
              <w:rPr>
                <w:rFonts w:eastAsia="Calibri" w:cs="Times New Roman"/>
                <w:b/>
                <w:bCs/>
                <w:color w:val="000000"/>
                <w:kern w:val="24"/>
                <w:sz w:val="16"/>
                <w:szCs w:val="20"/>
              </w:rPr>
              <w:t xml:space="preserve"> </w:t>
            </w:r>
          </w:p>
        </w:tc>
        <w:tc>
          <w:tcPr>
            <w:tcW w:w="167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775A3" w:rsidRPr="00E704F5" w:rsidRDefault="005775A3" w:rsidP="00DB6CFA">
            <w:pPr>
              <w:spacing w:after="0" w:line="240" w:lineRule="auto"/>
              <w:rPr>
                <w:rFonts w:eastAsia="Times New Roman" w:cs="Times New Roman"/>
                <w:sz w:val="16"/>
                <w:szCs w:val="20"/>
                <w:lang w:val="en-US"/>
              </w:rPr>
            </w:pPr>
            <w:r w:rsidRPr="00E704F5">
              <w:rPr>
                <w:rFonts w:eastAsia="Times New Roman" w:cs="Times New Roman"/>
                <w:color w:val="000000"/>
                <w:kern w:val="24"/>
                <w:sz w:val="16"/>
                <w:szCs w:val="20"/>
                <w:lang w:val="en-US"/>
              </w:rPr>
              <w:t>1.02e+09***</w:t>
            </w:r>
          </w:p>
          <w:p w:rsidR="005775A3" w:rsidRPr="00E704F5" w:rsidRDefault="005775A3" w:rsidP="00DB6CFA">
            <w:pPr>
              <w:spacing w:after="0" w:line="240" w:lineRule="auto"/>
              <w:rPr>
                <w:rFonts w:eastAsia="Times New Roman" w:cs="Times New Roman"/>
                <w:sz w:val="16"/>
                <w:szCs w:val="20"/>
                <w:lang w:val="en-US"/>
              </w:rPr>
            </w:pPr>
            <w:r w:rsidRPr="00E704F5">
              <w:rPr>
                <w:rFonts w:eastAsia="Calibri" w:cs="Times New Roman"/>
                <w:color w:val="000000"/>
                <w:kern w:val="24"/>
                <w:sz w:val="16"/>
                <w:szCs w:val="20"/>
                <w:lang w:val="en-US"/>
              </w:rPr>
              <w:t>(</w:t>
            </w:r>
            <w:r w:rsidRPr="00E704F5">
              <w:rPr>
                <w:rFonts w:eastAsia="Times New Roman" w:cs="Times New Roman"/>
                <w:color w:val="000000"/>
                <w:kern w:val="24"/>
                <w:sz w:val="16"/>
                <w:szCs w:val="20"/>
                <w:lang w:val="en-US"/>
              </w:rPr>
              <w:t>1.98e+08</w:t>
            </w:r>
            <w:r w:rsidRPr="00E704F5">
              <w:rPr>
                <w:rFonts w:eastAsia="Calibri" w:cs="Times New Roman"/>
                <w:color w:val="000000"/>
                <w:kern w:val="24"/>
                <w:sz w:val="16"/>
                <w:szCs w:val="20"/>
                <w:lang w:val="en-US"/>
              </w:rPr>
              <w:t>)</w:t>
            </w:r>
            <w:r w:rsidRPr="00E704F5">
              <w:rPr>
                <w:rFonts w:eastAsia="Calibri" w:cs="Times New Roman"/>
                <w:color w:val="000000"/>
                <w:kern w:val="24"/>
                <w:sz w:val="16"/>
                <w:szCs w:val="20"/>
              </w:rPr>
              <w:t xml:space="preserve"> </w:t>
            </w:r>
          </w:p>
        </w:tc>
        <w:tc>
          <w:tcPr>
            <w:tcW w:w="20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775A3" w:rsidRPr="00E704F5" w:rsidRDefault="005775A3" w:rsidP="00DB6CFA">
            <w:pPr>
              <w:spacing w:after="0" w:line="240" w:lineRule="auto"/>
              <w:rPr>
                <w:rFonts w:eastAsia="Times New Roman" w:cs="Times New Roman"/>
                <w:sz w:val="16"/>
                <w:szCs w:val="20"/>
                <w:lang w:val="en-US"/>
              </w:rPr>
            </w:pPr>
            <w:r w:rsidRPr="00E704F5">
              <w:rPr>
                <w:rFonts w:eastAsia="Times New Roman" w:cs="Times New Roman"/>
                <w:color w:val="000000"/>
                <w:kern w:val="24"/>
                <w:sz w:val="16"/>
                <w:szCs w:val="20"/>
                <w:lang w:val="en-US"/>
              </w:rPr>
              <w:t xml:space="preserve">6.30e+08   </w:t>
            </w:r>
          </w:p>
        </w:tc>
        <w:tc>
          <w:tcPr>
            <w:tcW w:w="21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775A3" w:rsidRPr="00E704F5" w:rsidRDefault="005775A3" w:rsidP="00DB6CFA">
            <w:pPr>
              <w:spacing w:after="0" w:line="240" w:lineRule="auto"/>
              <w:rPr>
                <w:rFonts w:eastAsia="Times New Roman" w:cs="Times New Roman"/>
                <w:sz w:val="16"/>
                <w:szCs w:val="20"/>
                <w:lang w:val="en-US"/>
              </w:rPr>
            </w:pPr>
            <w:r w:rsidRPr="00E704F5">
              <w:rPr>
                <w:rFonts w:eastAsia="Times New Roman" w:cs="Times New Roman"/>
                <w:color w:val="000000"/>
                <w:kern w:val="24"/>
                <w:sz w:val="16"/>
                <w:szCs w:val="20"/>
                <w:lang w:val="en-US"/>
              </w:rPr>
              <w:t>1.41e+09</w:t>
            </w:r>
            <w:r w:rsidRPr="00E704F5">
              <w:rPr>
                <w:rFonts w:eastAsia="Calibri" w:cs="Times New Roman"/>
                <w:color w:val="000000"/>
                <w:kern w:val="24"/>
                <w:sz w:val="16"/>
                <w:szCs w:val="20"/>
              </w:rPr>
              <w:t xml:space="preserve"> </w:t>
            </w:r>
          </w:p>
        </w:tc>
      </w:tr>
      <w:tr w:rsidR="005775A3" w:rsidRPr="00E704F5" w:rsidTr="00E704F5">
        <w:trPr>
          <w:trHeight w:val="22"/>
          <w:jc w:val="center"/>
        </w:trPr>
        <w:tc>
          <w:tcPr>
            <w:tcW w:w="174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775A3" w:rsidRPr="00E704F5" w:rsidRDefault="005775A3" w:rsidP="00DB6CFA">
            <w:pPr>
              <w:spacing w:after="0" w:line="240" w:lineRule="auto"/>
              <w:rPr>
                <w:rFonts w:eastAsia="Times New Roman" w:cs="Times New Roman"/>
                <w:sz w:val="16"/>
                <w:szCs w:val="20"/>
                <w:lang w:val="en-US"/>
              </w:rPr>
            </w:pPr>
            <w:r w:rsidRPr="00E704F5">
              <w:rPr>
                <w:rFonts w:eastAsia="Times New Roman" w:cs="Times New Roman"/>
                <w:b/>
                <w:bCs/>
                <w:color w:val="000000"/>
                <w:kern w:val="24"/>
                <w:sz w:val="16"/>
                <w:szCs w:val="20"/>
                <w:lang w:val="en-US"/>
              </w:rPr>
              <w:t>Tax</w:t>
            </w:r>
            <w:r w:rsidRPr="00E704F5">
              <w:rPr>
                <w:rFonts w:eastAsia="Calibri" w:cs="Times New Roman"/>
                <w:b/>
                <w:bCs/>
                <w:color w:val="000000"/>
                <w:kern w:val="24"/>
                <w:sz w:val="16"/>
                <w:szCs w:val="20"/>
              </w:rPr>
              <w:t xml:space="preserve"> </w:t>
            </w:r>
          </w:p>
        </w:tc>
        <w:tc>
          <w:tcPr>
            <w:tcW w:w="167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775A3" w:rsidRPr="00E704F5" w:rsidRDefault="005775A3" w:rsidP="00DB6CFA">
            <w:pPr>
              <w:spacing w:after="0" w:line="240" w:lineRule="auto"/>
              <w:rPr>
                <w:rFonts w:eastAsia="Times New Roman" w:cs="Times New Roman"/>
                <w:sz w:val="16"/>
                <w:szCs w:val="20"/>
                <w:lang w:val="en-US"/>
              </w:rPr>
            </w:pPr>
            <w:r w:rsidRPr="00E704F5">
              <w:rPr>
                <w:rFonts w:eastAsia="Times New Roman" w:cs="Times New Roman"/>
                <w:color w:val="000000"/>
                <w:kern w:val="24"/>
                <w:sz w:val="16"/>
                <w:szCs w:val="20"/>
                <w:lang w:val="en-US"/>
              </w:rPr>
              <w:t>-2.65e+08*</w:t>
            </w:r>
          </w:p>
          <w:p w:rsidR="005775A3" w:rsidRPr="00E704F5" w:rsidRDefault="005775A3" w:rsidP="00DB6CFA">
            <w:pPr>
              <w:spacing w:after="0" w:line="240" w:lineRule="auto"/>
              <w:rPr>
                <w:rFonts w:eastAsia="Times New Roman" w:cs="Times New Roman"/>
                <w:sz w:val="16"/>
                <w:szCs w:val="20"/>
                <w:lang w:val="en-US"/>
              </w:rPr>
            </w:pPr>
            <w:r w:rsidRPr="00E704F5">
              <w:rPr>
                <w:rFonts w:eastAsia="Calibri" w:cs="Times New Roman"/>
                <w:color w:val="000000"/>
                <w:kern w:val="24"/>
                <w:sz w:val="16"/>
                <w:szCs w:val="20"/>
                <w:lang w:val="en-US"/>
              </w:rPr>
              <w:t>(</w:t>
            </w:r>
            <w:r w:rsidRPr="00E704F5">
              <w:rPr>
                <w:rFonts w:eastAsia="Times New Roman" w:cs="Times New Roman"/>
                <w:color w:val="000000"/>
                <w:kern w:val="24"/>
                <w:sz w:val="16"/>
                <w:szCs w:val="20"/>
                <w:lang w:val="en-US"/>
              </w:rPr>
              <w:t>2.09e+08</w:t>
            </w:r>
            <w:r w:rsidRPr="00E704F5">
              <w:rPr>
                <w:rFonts w:eastAsia="Calibri" w:cs="Times New Roman"/>
                <w:color w:val="000000"/>
                <w:kern w:val="24"/>
                <w:sz w:val="16"/>
                <w:szCs w:val="20"/>
                <w:lang w:val="en-US"/>
              </w:rPr>
              <w:t>)</w:t>
            </w:r>
            <w:r w:rsidRPr="00E704F5">
              <w:rPr>
                <w:rFonts w:eastAsia="Calibri" w:cs="Times New Roman"/>
                <w:color w:val="000000"/>
                <w:kern w:val="24"/>
                <w:sz w:val="16"/>
                <w:szCs w:val="20"/>
              </w:rPr>
              <w:t xml:space="preserve"> </w:t>
            </w:r>
          </w:p>
        </w:tc>
        <w:tc>
          <w:tcPr>
            <w:tcW w:w="20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775A3" w:rsidRPr="00E704F5" w:rsidRDefault="005775A3" w:rsidP="00DB6CFA">
            <w:pPr>
              <w:spacing w:after="0" w:line="240" w:lineRule="auto"/>
              <w:rPr>
                <w:rFonts w:eastAsia="Times New Roman" w:cs="Times New Roman"/>
                <w:sz w:val="16"/>
                <w:szCs w:val="20"/>
                <w:lang w:val="en-US"/>
              </w:rPr>
            </w:pPr>
            <w:r w:rsidRPr="00E704F5">
              <w:rPr>
                <w:rFonts w:eastAsia="Times New Roman" w:cs="Times New Roman"/>
                <w:color w:val="000000"/>
                <w:kern w:val="24"/>
                <w:sz w:val="16"/>
                <w:szCs w:val="20"/>
                <w:lang w:val="en-US"/>
              </w:rPr>
              <w:t xml:space="preserve">-6.74e+08 </w:t>
            </w:r>
          </w:p>
        </w:tc>
        <w:tc>
          <w:tcPr>
            <w:tcW w:w="21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775A3" w:rsidRPr="00E704F5" w:rsidRDefault="005775A3" w:rsidP="00DB6CFA">
            <w:pPr>
              <w:spacing w:after="0" w:line="240" w:lineRule="auto"/>
              <w:rPr>
                <w:rFonts w:eastAsia="Times New Roman" w:cs="Times New Roman"/>
                <w:sz w:val="16"/>
                <w:szCs w:val="20"/>
                <w:lang w:val="en-US"/>
              </w:rPr>
            </w:pPr>
            <w:r w:rsidRPr="00E704F5">
              <w:rPr>
                <w:rFonts w:eastAsia="Times New Roman" w:cs="Times New Roman"/>
                <w:color w:val="000000"/>
                <w:kern w:val="24"/>
                <w:sz w:val="16"/>
                <w:szCs w:val="20"/>
                <w:lang w:val="en-US"/>
              </w:rPr>
              <w:t>1.44e+08</w:t>
            </w:r>
            <w:r w:rsidRPr="00E704F5">
              <w:rPr>
                <w:rFonts w:eastAsia="Calibri" w:cs="Times New Roman"/>
                <w:color w:val="000000"/>
                <w:kern w:val="24"/>
                <w:sz w:val="16"/>
                <w:szCs w:val="20"/>
              </w:rPr>
              <w:t xml:space="preserve"> </w:t>
            </w:r>
          </w:p>
        </w:tc>
      </w:tr>
    </w:tbl>
    <w:p w:rsidR="00FE2C72" w:rsidRPr="00851813" w:rsidRDefault="00FE2C72" w:rsidP="00DB6CFA">
      <w:pPr>
        <w:spacing w:after="0" w:line="240" w:lineRule="auto"/>
        <w:rPr>
          <w:rFonts w:cs="Times New Roman"/>
          <w:i/>
          <w:color w:val="000000" w:themeColor="text1"/>
          <w:sz w:val="20"/>
          <w:szCs w:val="20"/>
        </w:rPr>
      </w:pPr>
      <w:r w:rsidRPr="00851813">
        <w:rPr>
          <w:rFonts w:cs="Times New Roman"/>
          <w:i/>
          <w:color w:val="000000" w:themeColor="text1"/>
          <w:sz w:val="20"/>
          <w:szCs w:val="20"/>
        </w:rPr>
        <w:t>Data Source: World Bank</w:t>
      </w:r>
    </w:p>
    <w:p w:rsidR="00A361C0" w:rsidRPr="00851813" w:rsidRDefault="00A361C0" w:rsidP="00E704F5">
      <w:pPr>
        <w:spacing w:after="0" w:line="240" w:lineRule="auto"/>
        <w:ind w:firstLine="810"/>
        <w:rPr>
          <w:rFonts w:cs="Times New Roman"/>
          <w:color w:val="000000" w:themeColor="text1"/>
          <w:sz w:val="20"/>
          <w:szCs w:val="20"/>
        </w:rPr>
      </w:pPr>
      <w:r w:rsidRPr="00851813">
        <w:rPr>
          <w:rFonts w:cs="Times New Roman"/>
          <w:color w:val="000000" w:themeColor="text1"/>
          <w:sz w:val="20"/>
          <w:szCs w:val="20"/>
        </w:rPr>
        <w:t>The regression result shows expected way of relationship among the variables. From the above table we can see that GDP and FDI and positively related with each other. This also indicates the fact that, an increasing trend in GDP actually helps to capture more FDI inflow in the country.</w:t>
      </w:r>
    </w:p>
    <w:p w:rsidR="00A361C0" w:rsidRPr="00851813" w:rsidRDefault="00A361C0" w:rsidP="00E704F5">
      <w:pPr>
        <w:spacing w:after="0" w:line="240" w:lineRule="auto"/>
        <w:ind w:firstLine="810"/>
        <w:rPr>
          <w:rFonts w:cs="Times New Roman"/>
          <w:color w:val="000000" w:themeColor="text1"/>
          <w:sz w:val="20"/>
          <w:szCs w:val="20"/>
        </w:rPr>
      </w:pPr>
      <w:r w:rsidRPr="00851813">
        <w:rPr>
          <w:rFonts w:cs="Times New Roman"/>
          <w:color w:val="000000" w:themeColor="text1"/>
          <w:sz w:val="20"/>
          <w:szCs w:val="20"/>
        </w:rPr>
        <w:t>Similar result continues to hold for inflation. Since with inflation price level increases which again increases the volumes of inflow of FDI in Malaysia. However, this does not indicate the fact that there will be real increase in FDI inflow. Real FDI will increase if and only if we can capture the level of inflation prevailing in the economy.</w:t>
      </w:r>
    </w:p>
    <w:p w:rsidR="00A361C0" w:rsidRPr="00851813" w:rsidRDefault="00A361C0" w:rsidP="00E704F5">
      <w:pPr>
        <w:spacing w:after="0" w:line="240" w:lineRule="auto"/>
        <w:ind w:firstLine="810"/>
        <w:rPr>
          <w:rFonts w:cs="Times New Roman"/>
          <w:color w:val="000000" w:themeColor="text1"/>
          <w:sz w:val="20"/>
          <w:szCs w:val="20"/>
        </w:rPr>
      </w:pPr>
      <w:r w:rsidRPr="00851813">
        <w:rPr>
          <w:rFonts w:cs="Times New Roman"/>
          <w:color w:val="000000" w:themeColor="text1"/>
          <w:sz w:val="20"/>
          <w:szCs w:val="20"/>
        </w:rPr>
        <w:t xml:space="preserve">On a </w:t>
      </w:r>
      <w:r w:rsidR="00283C2A" w:rsidRPr="00851813">
        <w:rPr>
          <w:rFonts w:cs="Times New Roman"/>
          <w:color w:val="000000" w:themeColor="text1"/>
          <w:sz w:val="20"/>
          <w:szCs w:val="20"/>
        </w:rPr>
        <w:t>similar way</w:t>
      </w:r>
      <w:r w:rsidRPr="00851813">
        <w:rPr>
          <w:rFonts w:cs="Times New Roman"/>
          <w:color w:val="000000" w:themeColor="text1"/>
          <w:sz w:val="20"/>
          <w:szCs w:val="20"/>
        </w:rPr>
        <w:t>, time spend on governing is also positive and significantly related with inflow of FDI of the country. More time spend is an indicator of good governance power. Good governance also helps a country to control the bureaucratic complexity of the country and thereby helps to attract more FDI in the country.</w:t>
      </w:r>
    </w:p>
    <w:p w:rsidR="00E704F5" w:rsidRDefault="00A361C0" w:rsidP="00E704F5">
      <w:pPr>
        <w:spacing w:after="0" w:line="240" w:lineRule="auto"/>
        <w:ind w:firstLine="810"/>
        <w:rPr>
          <w:rFonts w:cs="Times New Roman"/>
          <w:color w:val="000000" w:themeColor="text1"/>
          <w:sz w:val="20"/>
          <w:szCs w:val="20"/>
        </w:rPr>
      </w:pPr>
      <w:r w:rsidRPr="00851813">
        <w:rPr>
          <w:rFonts w:cs="Times New Roman"/>
          <w:color w:val="000000" w:themeColor="text1"/>
          <w:sz w:val="20"/>
          <w:szCs w:val="20"/>
        </w:rPr>
        <w:t xml:space="preserve">On the contrary, tax rate </w:t>
      </w:r>
      <w:r w:rsidR="00E538B0" w:rsidRPr="00851813">
        <w:rPr>
          <w:rFonts w:cs="Times New Roman"/>
          <w:color w:val="000000" w:themeColor="text1"/>
          <w:sz w:val="20"/>
          <w:szCs w:val="20"/>
        </w:rPr>
        <w:t>is expected</w:t>
      </w:r>
      <w:r w:rsidRPr="00851813">
        <w:rPr>
          <w:rFonts w:cs="Times New Roman"/>
          <w:color w:val="000000" w:themeColor="text1"/>
          <w:sz w:val="20"/>
          <w:szCs w:val="20"/>
        </w:rPr>
        <w:t xml:space="preserve"> to be negatively related w</w:t>
      </w:r>
      <w:r w:rsidR="00E538B0" w:rsidRPr="00851813">
        <w:rPr>
          <w:rFonts w:cs="Times New Roman"/>
          <w:color w:val="000000" w:themeColor="text1"/>
          <w:sz w:val="20"/>
          <w:szCs w:val="20"/>
        </w:rPr>
        <w:t xml:space="preserve">ith the level of inflow of </w:t>
      </w:r>
      <w:r w:rsidR="00283C2A" w:rsidRPr="00851813">
        <w:rPr>
          <w:rFonts w:cs="Times New Roman"/>
          <w:color w:val="000000" w:themeColor="text1"/>
          <w:sz w:val="20"/>
          <w:szCs w:val="20"/>
        </w:rPr>
        <w:t>FDI because</w:t>
      </w:r>
      <w:r w:rsidRPr="00851813">
        <w:rPr>
          <w:rFonts w:cs="Times New Roman"/>
          <w:color w:val="000000" w:themeColor="text1"/>
          <w:sz w:val="20"/>
          <w:szCs w:val="20"/>
        </w:rPr>
        <w:t xml:space="preserve"> less foreign firms will be attracted to invest in a country with high burden of tax.</w:t>
      </w:r>
    </w:p>
    <w:p w:rsidR="00EE24C6" w:rsidRPr="00E704F5" w:rsidRDefault="004B7F99" w:rsidP="00E704F5">
      <w:pPr>
        <w:spacing w:after="0" w:line="240" w:lineRule="auto"/>
        <w:ind w:firstLine="810"/>
        <w:rPr>
          <w:rFonts w:cs="Times New Roman"/>
          <w:color w:val="000000" w:themeColor="text1"/>
          <w:sz w:val="20"/>
          <w:szCs w:val="20"/>
        </w:rPr>
      </w:pPr>
      <w:r w:rsidRPr="00851813">
        <w:rPr>
          <w:rFonts w:cs="Times New Roman"/>
          <w:b/>
          <w:color w:val="000000" w:themeColor="text1"/>
          <w:sz w:val="20"/>
          <w:szCs w:val="20"/>
        </w:rPr>
        <w:t>1.3.2</w:t>
      </w:r>
      <w:r w:rsidRPr="00851813">
        <w:rPr>
          <w:rFonts w:cs="Times New Roman"/>
          <w:b/>
          <w:color w:val="000000" w:themeColor="text1"/>
          <w:sz w:val="20"/>
          <w:szCs w:val="20"/>
        </w:rPr>
        <w:tab/>
      </w:r>
      <w:r w:rsidR="00EE24C6" w:rsidRPr="00851813">
        <w:rPr>
          <w:rFonts w:cs="Times New Roman"/>
          <w:b/>
          <w:color w:val="000000" w:themeColor="text1"/>
          <w:sz w:val="20"/>
          <w:szCs w:val="20"/>
        </w:rPr>
        <w:t xml:space="preserve">Data Analysis </w:t>
      </w:r>
      <w:r w:rsidR="00E538B0" w:rsidRPr="00851813">
        <w:rPr>
          <w:rFonts w:cs="Times New Roman"/>
          <w:b/>
          <w:color w:val="000000" w:themeColor="text1"/>
          <w:sz w:val="20"/>
          <w:szCs w:val="20"/>
        </w:rPr>
        <w:t>t</w:t>
      </w:r>
      <w:r w:rsidR="00EE24C6" w:rsidRPr="00851813">
        <w:rPr>
          <w:rFonts w:cs="Times New Roman"/>
          <w:b/>
          <w:sz w:val="20"/>
          <w:szCs w:val="20"/>
        </w:rPr>
        <w:t>o examine whether FDI inflow has lead to export diversification in Malaysia</w:t>
      </w:r>
    </w:p>
    <w:p w:rsidR="00BA6059" w:rsidRPr="00851813" w:rsidRDefault="00BA6059" w:rsidP="00E704F5">
      <w:pPr>
        <w:spacing w:after="0" w:line="240" w:lineRule="auto"/>
        <w:ind w:firstLine="810"/>
        <w:rPr>
          <w:rFonts w:cs="Times New Roman"/>
          <w:sz w:val="20"/>
          <w:szCs w:val="20"/>
        </w:rPr>
      </w:pPr>
      <w:r w:rsidRPr="00851813">
        <w:rPr>
          <w:rFonts w:cs="Times New Roman"/>
          <w:sz w:val="20"/>
          <w:szCs w:val="20"/>
        </w:rPr>
        <w:t xml:space="preserve">The HHI is </w:t>
      </w:r>
      <w:r w:rsidR="004B7F99" w:rsidRPr="00851813">
        <w:rPr>
          <w:rFonts w:cs="Times New Roman"/>
          <w:sz w:val="20"/>
          <w:szCs w:val="20"/>
        </w:rPr>
        <w:t>calculated by taking three sectors in Malaysia from the period 2005-2015. The sectors are, service, agriculture and manufacture</w:t>
      </w:r>
    </w:p>
    <w:p w:rsidR="00E704F5" w:rsidRDefault="00E704F5" w:rsidP="00DB6CFA">
      <w:pPr>
        <w:spacing w:after="0" w:line="240" w:lineRule="auto"/>
        <w:rPr>
          <w:rFonts w:cs="Times New Roman"/>
          <w:b/>
          <w:color w:val="000000" w:themeColor="text1"/>
          <w:sz w:val="20"/>
          <w:szCs w:val="20"/>
        </w:rPr>
      </w:pPr>
    </w:p>
    <w:p w:rsidR="00E704F5" w:rsidRDefault="00E704F5" w:rsidP="00DB6CFA">
      <w:pPr>
        <w:spacing w:after="0" w:line="240" w:lineRule="auto"/>
        <w:rPr>
          <w:rFonts w:cs="Times New Roman"/>
          <w:b/>
          <w:color w:val="000000" w:themeColor="text1"/>
          <w:sz w:val="20"/>
          <w:szCs w:val="20"/>
        </w:rPr>
      </w:pPr>
    </w:p>
    <w:p w:rsidR="00E704F5" w:rsidRDefault="00E704F5" w:rsidP="00DB6CFA">
      <w:pPr>
        <w:spacing w:after="0" w:line="240" w:lineRule="auto"/>
        <w:rPr>
          <w:rFonts w:cs="Times New Roman"/>
          <w:b/>
          <w:color w:val="000000" w:themeColor="text1"/>
          <w:sz w:val="20"/>
          <w:szCs w:val="20"/>
        </w:rPr>
      </w:pPr>
    </w:p>
    <w:p w:rsidR="00E704F5" w:rsidRDefault="00E704F5" w:rsidP="00DB6CFA">
      <w:pPr>
        <w:spacing w:after="0" w:line="240" w:lineRule="auto"/>
        <w:rPr>
          <w:rFonts w:cs="Times New Roman"/>
          <w:b/>
          <w:color w:val="000000" w:themeColor="text1"/>
          <w:sz w:val="20"/>
          <w:szCs w:val="20"/>
        </w:rPr>
      </w:pPr>
    </w:p>
    <w:p w:rsidR="00E704F5" w:rsidRDefault="00E704F5" w:rsidP="00DB6CFA">
      <w:pPr>
        <w:spacing w:after="0" w:line="240" w:lineRule="auto"/>
        <w:rPr>
          <w:rFonts w:cs="Times New Roman"/>
          <w:b/>
          <w:color w:val="000000" w:themeColor="text1"/>
          <w:sz w:val="20"/>
          <w:szCs w:val="20"/>
        </w:rPr>
      </w:pPr>
    </w:p>
    <w:p w:rsidR="00E704F5" w:rsidRDefault="00E704F5" w:rsidP="00DB6CFA">
      <w:pPr>
        <w:spacing w:after="0" w:line="240" w:lineRule="auto"/>
        <w:rPr>
          <w:rFonts w:cs="Times New Roman"/>
          <w:b/>
          <w:color w:val="000000" w:themeColor="text1"/>
          <w:sz w:val="20"/>
          <w:szCs w:val="20"/>
        </w:rPr>
      </w:pPr>
    </w:p>
    <w:p w:rsidR="004B7F99" w:rsidRPr="00851813" w:rsidRDefault="00532E23" w:rsidP="00E704F5">
      <w:pPr>
        <w:spacing w:after="0" w:line="240" w:lineRule="auto"/>
        <w:jc w:val="center"/>
        <w:rPr>
          <w:rFonts w:cs="Times New Roman"/>
          <w:b/>
          <w:color w:val="000000" w:themeColor="text1"/>
          <w:sz w:val="20"/>
          <w:szCs w:val="20"/>
        </w:rPr>
      </w:pPr>
      <w:r w:rsidRPr="00851813">
        <w:rPr>
          <w:rFonts w:cs="Times New Roman"/>
          <w:b/>
          <w:color w:val="000000" w:themeColor="text1"/>
          <w:sz w:val="20"/>
          <w:szCs w:val="20"/>
        </w:rPr>
        <w:lastRenderedPageBreak/>
        <w:t>Figure 6</w:t>
      </w:r>
      <w:r w:rsidR="004B7F99" w:rsidRPr="00851813">
        <w:rPr>
          <w:rFonts w:cs="Times New Roman"/>
          <w:b/>
          <w:color w:val="000000" w:themeColor="text1"/>
          <w:sz w:val="20"/>
          <w:szCs w:val="20"/>
        </w:rPr>
        <w:t>: HHI Index Value</w:t>
      </w:r>
    </w:p>
    <w:p w:rsidR="005775A3" w:rsidRPr="00851813" w:rsidRDefault="00EE24C6" w:rsidP="00542CF3">
      <w:pPr>
        <w:spacing w:after="0" w:line="240" w:lineRule="auto"/>
        <w:jc w:val="center"/>
        <w:rPr>
          <w:rFonts w:cs="Times New Roman"/>
          <w:i/>
          <w:color w:val="000000" w:themeColor="text1"/>
          <w:sz w:val="20"/>
          <w:szCs w:val="20"/>
        </w:rPr>
      </w:pPr>
      <w:r w:rsidRPr="00851813">
        <w:rPr>
          <w:rFonts w:cs="Times New Roman"/>
          <w:noProof/>
          <w:color w:val="000000" w:themeColor="text1"/>
          <w:sz w:val="20"/>
          <w:szCs w:val="20"/>
          <w:lang w:val="en-US" w:bidi="hi-IN"/>
        </w:rPr>
        <w:drawing>
          <wp:inline distT="0" distB="0" distL="0" distR="0">
            <wp:extent cx="4569526" cy="2137559"/>
            <wp:effectExtent l="19050" t="0" r="21524"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E24C6" w:rsidRPr="00851813" w:rsidRDefault="004B7F99" w:rsidP="00DB6CFA">
      <w:pPr>
        <w:spacing w:after="0" w:line="240" w:lineRule="auto"/>
        <w:rPr>
          <w:rFonts w:cs="Times New Roman"/>
          <w:color w:val="000000" w:themeColor="text1"/>
          <w:sz w:val="20"/>
          <w:szCs w:val="20"/>
        </w:rPr>
      </w:pPr>
      <w:r w:rsidRPr="00851813">
        <w:rPr>
          <w:rFonts w:cs="Times New Roman"/>
          <w:i/>
          <w:color w:val="000000" w:themeColor="text1"/>
          <w:sz w:val="20"/>
          <w:szCs w:val="20"/>
        </w:rPr>
        <w:t>Source: World Bank</w:t>
      </w:r>
    </w:p>
    <w:p w:rsidR="00BA6059" w:rsidRPr="00851813" w:rsidRDefault="00BA6059" w:rsidP="00542CF3">
      <w:pPr>
        <w:spacing w:after="0" w:line="240" w:lineRule="auto"/>
        <w:ind w:firstLine="720"/>
        <w:rPr>
          <w:rFonts w:cs="Times New Roman"/>
          <w:color w:val="000000" w:themeColor="text1"/>
          <w:sz w:val="20"/>
          <w:szCs w:val="20"/>
        </w:rPr>
      </w:pPr>
      <w:r w:rsidRPr="00851813">
        <w:rPr>
          <w:rFonts w:cs="Times New Roman"/>
          <w:color w:val="000000" w:themeColor="text1"/>
          <w:sz w:val="20"/>
          <w:szCs w:val="20"/>
        </w:rPr>
        <w:t>The HI index value line graph shows the export concentration ratio from 2005-2015. The export concentration ratio is highest in 2009 and lowest in 2013. However on average it is 0.92 for a period of 10 years. It implies that in Malaysia export concentration is high in service, manufacturing and agricultural sector and there is less diversification of export in other sectors</w:t>
      </w:r>
      <w:r w:rsidR="004B7F99" w:rsidRPr="00851813">
        <w:rPr>
          <w:rFonts w:cs="Times New Roman"/>
          <w:color w:val="000000" w:themeColor="text1"/>
          <w:sz w:val="20"/>
          <w:szCs w:val="20"/>
        </w:rPr>
        <w:t>.</w:t>
      </w:r>
    </w:p>
    <w:p w:rsidR="00542CF3" w:rsidRDefault="00542CF3" w:rsidP="00DB6CFA">
      <w:pPr>
        <w:spacing w:after="0" w:line="240" w:lineRule="auto"/>
        <w:rPr>
          <w:rFonts w:cs="Times New Roman"/>
          <w:b/>
          <w:color w:val="000000" w:themeColor="text1"/>
          <w:sz w:val="20"/>
          <w:szCs w:val="20"/>
        </w:rPr>
      </w:pPr>
    </w:p>
    <w:p w:rsidR="00A361C0" w:rsidRPr="00851813" w:rsidRDefault="00532E23" w:rsidP="00542CF3">
      <w:pPr>
        <w:spacing w:after="0" w:line="240" w:lineRule="auto"/>
        <w:jc w:val="center"/>
        <w:rPr>
          <w:rFonts w:cs="Times New Roman"/>
          <w:b/>
          <w:color w:val="000000" w:themeColor="text1"/>
          <w:sz w:val="20"/>
          <w:szCs w:val="20"/>
        </w:rPr>
      </w:pPr>
      <w:r w:rsidRPr="00851813">
        <w:rPr>
          <w:rFonts w:cs="Times New Roman"/>
          <w:b/>
          <w:color w:val="000000" w:themeColor="text1"/>
          <w:sz w:val="20"/>
          <w:szCs w:val="20"/>
        </w:rPr>
        <w:t>Table 3</w:t>
      </w:r>
      <w:r w:rsidR="0045750B" w:rsidRPr="00851813">
        <w:rPr>
          <w:rFonts w:cs="Times New Roman"/>
          <w:b/>
          <w:color w:val="000000" w:themeColor="text1"/>
          <w:sz w:val="20"/>
          <w:szCs w:val="20"/>
        </w:rPr>
        <w:t xml:space="preserve">: </w:t>
      </w:r>
      <w:r w:rsidR="004B7F99" w:rsidRPr="00851813">
        <w:rPr>
          <w:rFonts w:cs="Times New Roman"/>
          <w:b/>
          <w:color w:val="000000" w:themeColor="text1"/>
          <w:sz w:val="20"/>
          <w:szCs w:val="20"/>
        </w:rPr>
        <w:t>GLS Regression Result</w:t>
      </w:r>
    </w:p>
    <w:tbl>
      <w:tblPr>
        <w:tblStyle w:val="TableGrid"/>
        <w:tblW w:w="0" w:type="auto"/>
        <w:jc w:val="center"/>
        <w:tblLook w:val="04A0"/>
      </w:tblPr>
      <w:tblGrid>
        <w:gridCol w:w="1548"/>
        <w:gridCol w:w="1934"/>
        <w:gridCol w:w="1999"/>
        <w:gridCol w:w="1913"/>
      </w:tblGrid>
      <w:tr w:rsidR="00A361C0" w:rsidRPr="00837D04" w:rsidTr="00837D04">
        <w:trPr>
          <w:trHeight w:val="47"/>
          <w:jc w:val="center"/>
        </w:trPr>
        <w:tc>
          <w:tcPr>
            <w:tcW w:w="1548" w:type="dxa"/>
          </w:tcPr>
          <w:p w:rsidR="00A361C0" w:rsidRPr="00837D04" w:rsidRDefault="00A361C0" w:rsidP="00DB6CFA">
            <w:pPr>
              <w:spacing w:line="240" w:lineRule="auto"/>
              <w:rPr>
                <w:rFonts w:cs="Times New Roman"/>
                <w:b/>
                <w:sz w:val="16"/>
                <w:szCs w:val="20"/>
              </w:rPr>
            </w:pPr>
            <w:r w:rsidRPr="00837D04">
              <w:rPr>
                <w:rFonts w:cs="Times New Roman"/>
                <w:b/>
                <w:sz w:val="16"/>
                <w:szCs w:val="20"/>
              </w:rPr>
              <w:t>Variable</w:t>
            </w:r>
          </w:p>
        </w:tc>
        <w:tc>
          <w:tcPr>
            <w:tcW w:w="1934" w:type="dxa"/>
          </w:tcPr>
          <w:p w:rsidR="00A361C0" w:rsidRPr="00837D04" w:rsidRDefault="00A361C0" w:rsidP="00DB6CFA">
            <w:pPr>
              <w:spacing w:line="240" w:lineRule="auto"/>
              <w:rPr>
                <w:rFonts w:cs="Times New Roman"/>
                <w:b/>
                <w:sz w:val="16"/>
                <w:szCs w:val="20"/>
              </w:rPr>
            </w:pPr>
            <w:r w:rsidRPr="00837D04">
              <w:rPr>
                <w:rFonts w:cs="Times New Roman"/>
                <w:b/>
                <w:sz w:val="16"/>
                <w:szCs w:val="20"/>
              </w:rPr>
              <w:t>Coefficient</w:t>
            </w:r>
          </w:p>
          <w:p w:rsidR="00A361C0" w:rsidRPr="00837D04" w:rsidRDefault="00A361C0" w:rsidP="00DB6CFA">
            <w:pPr>
              <w:spacing w:line="240" w:lineRule="auto"/>
              <w:rPr>
                <w:rFonts w:cs="Times New Roman"/>
                <w:b/>
                <w:sz w:val="16"/>
                <w:szCs w:val="20"/>
              </w:rPr>
            </w:pPr>
            <w:r w:rsidRPr="00837D04">
              <w:rPr>
                <w:rFonts w:cs="Times New Roman"/>
                <w:b/>
                <w:sz w:val="16"/>
                <w:szCs w:val="20"/>
              </w:rPr>
              <w:t>(Standard Error)</w:t>
            </w:r>
          </w:p>
        </w:tc>
        <w:tc>
          <w:tcPr>
            <w:tcW w:w="1999" w:type="dxa"/>
          </w:tcPr>
          <w:p w:rsidR="00A361C0" w:rsidRPr="00837D04" w:rsidRDefault="00A361C0" w:rsidP="00DB6CFA">
            <w:pPr>
              <w:spacing w:line="240" w:lineRule="auto"/>
              <w:rPr>
                <w:rFonts w:cs="Times New Roman"/>
                <w:b/>
                <w:sz w:val="16"/>
                <w:szCs w:val="20"/>
              </w:rPr>
            </w:pPr>
            <w:r w:rsidRPr="00837D04">
              <w:rPr>
                <w:rFonts w:cs="Times New Roman"/>
                <w:b/>
                <w:sz w:val="16"/>
                <w:szCs w:val="20"/>
              </w:rPr>
              <w:t>Interval</w:t>
            </w:r>
          </w:p>
          <w:p w:rsidR="00A361C0" w:rsidRPr="00837D04" w:rsidRDefault="00A361C0" w:rsidP="00DB6CFA">
            <w:pPr>
              <w:spacing w:line="240" w:lineRule="auto"/>
              <w:rPr>
                <w:rFonts w:cs="Times New Roman"/>
                <w:b/>
                <w:sz w:val="16"/>
                <w:szCs w:val="20"/>
              </w:rPr>
            </w:pPr>
            <w:r w:rsidRPr="00837D04">
              <w:rPr>
                <w:rFonts w:cs="Times New Roman"/>
                <w:b/>
                <w:sz w:val="16"/>
                <w:szCs w:val="20"/>
              </w:rPr>
              <w:t>(minimum)</w:t>
            </w:r>
          </w:p>
        </w:tc>
        <w:tc>
          <w:tcPr>
            <w:tcW w:w="1913" w:type="dxa"/>
          </w:tcPr>
          <w:p w:rsidR="00A361C0" w:rsidRPr="00837D04" w:rsidRDefault="00A361C0" w:rsidP="00DB6CFA">
            <w:pPr>
              <w:spacing w:line="240" w:lineRule="auto"/>
              <w:rPr>
                <w:rFonts w:cs="Times New Roman"/>
                <w:b/>
                <w:sz w:val="16"/>
                <w:szCs w:val="20"/>
              </w:rPr>
            </w:pPr>
            <w:r w:rsidRPr="00837D04">
              <w:rPr>
                <w:rFonts w:cs="Times New Roman"/>
                <w:b/>
                <w:sz w:val="16"/>
                <w:szCs w:val="20"/>
              </w:rPr>
              <w:t>Interval</w:t>
            </w:r>
          </w:p>
          <w:p w:rsidR="00A361C0" w:rsidRPr="00837D04" w:rsidRDefault="00EC2275" w:rsidP="00DB6CFA">
            <w:pPr>
              <w:spacing w:line="240" w:lineRule="auto"/>
              <w:rPr>
                <w:rFonts w:cs="Times New Roman"/>
                <w:b/>
                <w:sz w:val="16"/>
                <w:szCs w:val="20"/>
              </w:rPr>
            </w:pPr>
            <w:r w:rsidRPr="00837D04">
              <w:rPr>
                <w:rFonts w:cs="Times New Roman"/>
                <w:b/>
                <w:sz w:val="16"/>
                <w:szCs w:val="20"/>
              </w:rPr>
              <w:t>(maximum</w:t>
            </w:r>
            <w:r w:rsidR="00A361C0" w:rsidRPr="00837D04">
              <w:rPr>
                <w:rFonts w:cs="Times New Roman"/>
                <w:b/>
                <w:sz w:val="16"/>
                <w:szCs w:val="20"/>
              </w:rPr>
              <w:t>)</w:t>
            </w:r>
          </w:p>
        </w:tc>
      </w:tr>
      <w:tr w:rsidR="00A361C0" w:rsidRPr="00837D04" w:rsidTr="00837D04">
        <w:trPr>
          <w:trHeight w:val="47"/>
          <w:jc w:val="center"/>
        </w:trPr>
        <w:tc>
          <w:tcPr>
            <w:tcW w:w="1548" w:type="dxa"/>
          </w:tcPr>
          <w:p w:rsidR="00A361C0" w:rsidRPr="00837D04" w:rsidRDefault="00A361C0" w:rsidP="00DB6CFA">
            <w:pPr>
              <w:spacing w:line="240" w:lineRule="auto"/>
              <w:rPr>
                <w:rFonts w:cs="Times New Roman"/>
                <w:sz w:val="16"/>
                <w:szCs w:val="20"/>
              </w:rPr>
            </w:pPr>
            <w:r w:rsidRPr="00837D04">
              <w:rPr>
                <w:rFonts w:cs="Times New Roman"/>
                <w:sz w:val="16"/>
                <w:szCs w:val="20"/>
              </w:rPr>
              <w:t>FDI</w:t>
            </w:r>
          </w:p>
        </w:tc>
        <w:tc>
          <w:tcPr>
            <w:tcW w:w="1934" w:type="dxa"/>
          </w:tcPr>
          <w:p w:rsidR="00A361C0" w:rsidRPr="00837D04" w:rsidRDefault="00A361C0" w:rsidP="00DB6CFA">
            <w:pPr>
              <w:spacing w:line="240" w:lineRule="auto"/>
              <w:rPr>
                <w:rFonts w:cs="Times New Roman"/>
                <w:sz w:val="16"/>
                <w:szCs w:val="20"/>
              </w:rPr>
            </w:pPr>
            <w:r w:rsidRPr="00837D04">
              <w:rPr>
                <w:rFonts w:cs="Times New Roman"/>
                <w:sz w:val="16"/>
                <w:szCs w:val="20"/>
              </w:rPr>
              <w:t>5.18e+11**</w:t>
            </w:r>
          </w:p>
          <w:p w:rsidR="00A361C0" w:rsidRPr="00837D04" w:rsidRDefault="00A361C0" w:rsidP="00DB6CFA">
            <w:pPr>
              <w:spacing w:line="240" w:lineRule="auto"/>
              <w:rPr>
                <w:rFonts w:cs="Times New Roman"/>
                <w:sz w:val="16"/>
                <w:szCs w:val="20"/>
              </w:rPr>
            </w:pPr>
            <w:r w:rsidRPr="00837D04">
              <w:rPr>
                <w:rFonts w:cs="Times New Roman"/>
                <w:sz w:val="16"/>
                <w:szCs w:val="20"/>
              </w:rPr>
              <w:t>(6.95e+10)</w:t>
            </w:r>
          </w:p>
        </w:tc>
        <w:tc>
          <w:tcPr>
            <w:tcW w:w="1999" w:type="dxa"/>
          </w:tcPr>
          <w:p w:rsidR="00A361C0" w:rsidRPr="00837D04" w:rsidRDefault="00A361C0" w:rsidP="00DB6CFA">
            <w:pPr>
              <w:spacing w:line="240" w:lineRule="auto"/>
              <w:rPr>
                <w:rFonts w:cs="Times New Roman"/>
                <w:sz w:val="16"/>
                <w:szCs w:val="20"/>
              </w:rPr>
            </w:pPr>
            <w:r w:rsidRPr="00837D04">
              <w:rPr>
                <w:rFonts w:cs="Times New Roman"/>
                <w:sz w:val="16"/>
                <w:szCs w:val="20"/>
              </w:rPr>
              <w:t>3.26e+11</w:t>
            </w:r>
          </w:p>
        </w:tc>
        <w:tc>
          <w:tcPr>
            <w:tcW w:w="1913" w:type="dxa"/>
          </w:tcPr>
          <w:p w:rsidR="00A361C0" w:rsidRPr="00837D04" w:rsidRDefault="00A361C0" w:rsidP="00DB6CFA">
            <w:pPr>
              <w:spacing w:line="240" w:lineRule="auto"/>
              <w:rPr>
                <w:rFonts w:cs="Times New Roman"/>
                <w:sz w:val="16"/>
                <w:szCs w:val="20"/>
              </w:rPr>
            </w:pPr>
            <w:r w:rsidRPr="00837D04">
              <w:rPr>
                <w:rFonts w:cs="Times New Roman"/>
                <w:sz w:val="16"/>
                <w:szCs w:val="20"/>
              </w:rPr>
              <w:t>7.11e+11</w:t>
            </w:r>
          </w:p>
        </w:tc>
      </w:tr>
      <w:tr w:rsidR="00A361C0" w:rsidRPr="00837D04" w:rsidTr="00837D04">
        <w:trPr>
          <w:trHeight w:val="47"/>
          <w:jc w:val="center"/>
        </w:trPr>
        <w:tc>
          <w:tcPr>
            <w:tcW w:w="1548" w:type="dxa"/>
          </w:tcPr>
          <w:p w:rsidR="00A361C0" w:rsidRPr="00837D04" w:rsidRDefault="00A361C0" w:rsidP="00DB6CFA">
            <w:pPr>
              <w:spacing w:line="240" w:lineRule="auto"/>
              <w:rPr>
                <w:rFonts w:cs="Times New Roman"/>
                <w:sz w:val="16"/>
                <w:szCs w:val="20"/>
              </w:rPr>
            </w:pPr>
            <w:r w:rsidRPr="00837D04">
              <w:rPr>
                <w:rFonts w:cs="Times New Roman"/>
                <w:sz w:val="16"/>
                <w:szCs w:val="20"/>
              </w:rPr>
              <w:t>GDP</w:t>
            </w:r>
          </w:p>
        </w:tc>
        <w:tc>
          <w:tcPr>
            <w:tcW w:w="1934" w:type="dxa"/>
          </w:tcPr>
          <w:p w:rsidR="00A361C0" w:rsidRPr="00837D04" w:rsidRDefault="00A361C0" w:rsidP="00DB6CFA">
            <w:pPr>
              <w:spacing w:line="240" w:lineRule="auto"/>
              <w:rPr>
                <w:rFonts w:cs="Times New Roman"/>
                <w:sz w:val="16"/>
                <w:szCs w:val="20"/>
              </w:rPr>
            </w:pPr>
            <w:r w:rsidRPr="00837D04">
              <w:rPr>
                <w:rFonts w:cs="Times New Roman"/>
                <w:sz w:val="16"/>
                <w:szCs w:val="20"/>
              </w:rPr>
              <w:t>-6.37e+20**</w:t>
            </w:r>
          </w:p>
          <w:p w:rsidR="00A361C0" w:rsidRPr="00837D04" w:rsidRDefault="00A361C0" w:rsidP="00DB6CFA">
            <w:pPr>
              <w:spacing w:line="240" w:lineRule="auto"/>
              <w:rPr>
                <w:rFonts w:cs="Times New Roman"/>
                <w:sz w:val="16"/>
                <w:szCs w:val="20"/>
              </w:rPr>
            </w:pPr>
            <w:r w:rsidRPr="00837D04">
              <w:rPr>
                <w:rFonts w:cs="Times New Roman"/>
                <w:sz w:val="16"/>
                <w:szCs w:val="20"/>
              </w:rPr>
              <w:t>(1.18e+20)</w:t>
            </w:r>
          </w:p>
        </w:tc>
        <w:tc>
          <w:tcPr>
            <w:tcW w:w="1999" w:type="dxa"/>
          </w:tcPr>
          <w:p w:rsidR="00A361C0" w:rsidRPr="00837D04" w:rsidRDefault="00A361C0" w:rsidP="00DB6CFA">
            <w:pPr>
              <w:spacing w:line="240" w:lineRule="auto"/>
              <w:rPr>
                <w:rFonts w:cs="Times New Roman"/>
                <w:sz w:val="16"/>
                <w:szCs w:val="20"/>
              </w:rPr>
            </w:pPr>
            <w:r w:rsidRPr="00837D04">
              <w:rPr>
                <w:rFonts w:cs="Times New Roman"/>
                <w:sz w:val="16"/>
                <w:szCs w:val="20"/>
              </w:rPr>
              <w:t>-9.65e+20</w:t>
            </w:r>
          </w:p>
        </w:tc>
        <w:tc>
          <w:tcPr>
            <w:tcW w:w="1913" w:type="dxa"/>
          </w:tcPr>
          <w:p w:rsidR="00A361C0" w:rsidRPr="00837D04" w:rsidRDefault="00A361C0" w:rsidP="00DB6CFA">
            <w:pPr>
              <w:spacing w:line="240" w:lineRule="auto"/>
              <w:rPr>
                <w:rFonts w:cs="Times New Roman"/>
                <w:sz w:val="16"/>
                <w:szCs w:val="20"/>
              </w:rPr>
            </w:pPr>
            <w:r w:rsidRPr="00837D04">
              <w:rPr>
                <w:rFonts w:cs="Times New Roman"/>
                <w:sz w:val="16"/>
                <w:szCs w:val="20"/>
              </w:rPr>
              <w:t>-3.09e+20</w:t>
            </w:r>
          </w:p>
        </w:tc>
      </w:tr>
      <w:tr w:rsidR="00A361C0" w:rsidRPr="00837D04" w:rsidTr="00837D04">
        <w:trPr>
          <w:trHeight w:val="47"/>
          <w:jc w:val="center"/>
        </w:trPr>
        <w:tc>
          <w:tcPr>
            <w:tcW w:w="1548" w:type="dxa"/>
          </w:tcPr>
          <w:p w:rsidR="00A361C0" w:rsidRPr="00837D04" w:rsidRDefault="00A361C0" w:rsidP="00DB6CFA">
            <w:pPr>
              <w:spacing w:line="240" w:lineRule="auto"/>
              <w:rPr>
                <w:rFonts w:cs="Times New Roman"/>
                <w:sz w:val="16"/>
                <w:szCs w:val="20"/>
              </w:rPr>
            </w:pPr>
            <w:r w:rsidRPr="00837D04">
              <w:rPr>
                <w:rFonts w:cs="Times New Roman"/>
                <w:sz w:val="16"/>
                <w:szCs w:val="20"/>
              </w:rPr>
              <w:t>Time</w:t>
            </w:r>
          </w:p>
        </w:tc>
        <w:tc>
          <w:tcPr>
            <w:tcW w:w="1934" w:type="dxa"/>
          </w:tcPr>
          <w:p w:rsidR="00A361C0" w:rsidRPr="00837D04" w:rsidRDefault="00A361C0" w:rsidP="00DB6CFA">
            <w:pPr>
              <w:spacing w:line="240" w:lineRule="auto"/>
              <w:rPr>
                <w:rFonts w:cs="Times New Roman"/>
                <w:sz w:val="16"/>
                <w:szCs w:val="20"/>
              </w:rPr>
            </w:pPr>
            <w:r w:rsidRPr="00837D04">
              <w:rPr>
                <w:rFonts w:cs="Times New Roman"/>
                <w:sz w:val="16"/>
                <w:szCs w:val="20"/>
              </w:rPr>
              <w:t>-1.44e+18</w:t>
            </w:r>
          </w:p>
          <w:p w:rsidR="00A361C0" w:rsidRPr="00837D04" w:rsidRDefault="00A361C0" w:rsidP="00DB6CFA">
            <w:pPr>
              <w:spacing w:line="240" w:lineRule="auto"/>
              <w:rPr>
                <w:rFonts w:cs="Times New Roman"/>
                <w:sz w:val="16"/>
                <w:szCs w:val="20"/>
              </w:rPr>
            </w:pPr>
            <w:r w:rsidRPr="00837D04">
              <w:rPr>
                <w:rFonts w:cs="Times New Roman"/>
                <w:sz w:val="16"/>
                <w:szCs w:val="20"/>
              </w:rPr>
              <w:t>(1.50e+19)</w:t>
            </w:r>
          </w:p>
        </w:tc>
        <w:tc>
          <w:tcPr>
            <w:tcW w:w="1999" w:type="dxa"/>
          </w:tcPr>
          <w:p w:rsidR="00A361C0" w:rsidRPr="00837D04" w:rsidRDefault="00A361C0" w:rsidP="00DB6CFA">
            <w:pPr>
              <w:spacing w:line="240" w:lineRule="auto"/>
              <w:rPr>
                <w:rFonts w:cs="Times New Roman"/>
                <w:sz w:val="16"/>
                <w:szCs w:val="20"/>
              </w:rPr>
            </w:pPr>
            <w:r w:rsidRPr="00837D04">
              <w:rPr>
                <w:rFonts w:cs="Times New Roman"/>
                <w:sz w:val="16"/>
                <w:szCs w:val="20"/>
              </w:rPr>
              <w:t>-4.32e+19</w:t>
            </w:r>
          </w:p>
        </w:tc>
        <w:tc>
          <w:tcPr>
            <w:tcW w:w="1913" w:type="dxa"/>
          </w:tcPr>
          <w:p w:rsidR="00A361C0" w:rsidRPr="00837D04" w:rsidRDefault="00A361C0" w:rsidP="00DB6CFA">
            <w:pPr>
              <w:spacing w:line="240" w:lineRule="auto"/>
              <w:rPr>
                <w:rFonts w:cs="Times New Roman"/>
                <w:sz w:val="16"/>
                <w:szCs w:val="20"/>
              </w:rPr>
            </w:pPr>
            <w:r w:rsidRPr="00837D04">
              <w:rPr>
                <w:rFonts w:cs="Times New Roman"/>
                <w:sz w:val="16"/>
                <w:szCs w:val="20"/>
              </w:rPr>
              <w:t>4.03e+19</w:t>
            </w:r>
          </w:p>
        </w:tc>
      </w:tr>
      <w:tr w:rsidR="00A361C0" w:rsidRPr="00837D04" w:rsidTr="00837D04">
        <w:trPr>
          <w:trHeight w:val="47"/>
          <w:jc w:val="center"/>
        </w:trPr>
        <w:tc>
          <w:tcPr>
            <w:tcW w:w="1548" w:type="dxa"/>
          </w:tcPr>
          <w:p w:rsidR="00A361C0" w:rsidRPr="00837D04" w:rsidRDefault="00A361C0" w:rsidP="00DB6CFA">
            <w:pPr>
              <w:spacing w:line="240" w:lineRule="auto"/>
              <w:rPr>
                <w:rFonts w:cs="Times New Roman"/>
                <w:sz w:val="16"/>
                <w:szCs w:val="20"/>
              </w:rPr>
            </w:pPr>
            <w:r w:rsidRPr="00837D04">
              <w:rPr>
                <w:rFonts w:cs="Times New Roman"/>
                <w:sz w:val="16"/>
                <w:szCs w:val="20"/>
              </w:rPr>
              <w:t>Tax</w:t>
            </w:r>
          </w:p>
        </w:tc>
        <w:tc>
          <w:tcPr>
            <w:tcW w:w="1934" w:type="dxa"/>
          </w:tcPr>
          <w:p w:rsidR="00A361C0" w:rsidRPr="00837D04" w:rsidRDefault="00A361C0" w:rsidP="00DB6CFA">
            <w:pPr>
              <w:spacing w:line="240" w:lineRule="auto"/>
              <w:rPr>
                <w:rFonts w:cs="Times New Roman"/>
                <w:sz w:val="16"/>
                <w:szCs w:val="20"/>
              </w:rPr>
            </w:pPr>
            <w:r w:rsidRPr="00837D04">
              <w:rPr>
                <w:rFonts w:cs="Times New Roman"/>
                <w:sz w:val="16"/>
                <w:szCs w:val="20"/>
              </w:rPr>
              <w:t>8.64e+19*</w:t>
            </w:r>
          </w:p>
          <w:p w:rsidR="00A361C0" w:rsidRPr="00837D04" w:rsidRDefault="00A361C0" w:rsidP="00DB6CFA">
            <w:pPr>
              <w:spacing w:line="240" w:lineRule="auto"/>
              <w:rPr>
                <w:rFonts w:cs="Times New Roman"/>
                <w:sz w:val="16"/>
                <w:szCs w:val="20"/>
              </w:rPr>
            </w:pPr>
            <w:r w:rsidRPr="00837D04">
              <w:rPr>
                <w:rFonts w:cs="Times New Roman"/>
                <w:sz w:val="16"/>
                <w:szCs w:val="20"/>
              </w:rPr>
              <w:t>(3.25e+19)</w:t>
            </w:r>
          </w:p>
        </w:tc>
        <w:tc>
          <w:tcPr>
            <w:tcW w:w="1999" w:type="dxa"/>
          </w:tcPr>
          <w:p w:rsidR="00A361C0" w:rsidRPr="00837D04" w:rsidRDefault="00A361C0" w:rsidP="00DB6CFA">
            <w:pPr>
              <w:spacing w:line="240" w:lineRule="auto"/>
              <w:rPr>
                <w:rFonts w:cs="Times New Roman"/>
                <w:sz w:val="16"/>
                <w:szCs w:val="20"/>
              </w:rPr>
            </w:pPr>
            <w:r w:rsidRPr="00837D04">
              <w:rPr>
                <w:rFonts w:cs="Times New Roman"/>
                <w:sz w:val="16"/>
                <w:szCs w:val="20"/>
              </w:rPr>
              <w:t>-3.78e+18</w:t>
            </w:r>
          </w:p>
        </w:tc>
        <w:tc>
          <w:tcPr>
            <w:tcW w:w="1913" w:type="dxa"/>
          </w:tcPr>
          <w:p w:rsidR="00A361C0" w:rsidRPr="00837D04" w:rsidRDefault="00A361C0" w:rsidP="00DB6CFA">
            <w:pPr>
              <w:spacing w:line="240" w:lineRule="auto"/>
              <w:rPr>
                <w:rFonts w:cs="Times New Roman"/>
                <w:sz w:val="16"/>
                <w:szCs w:val="20"/>
              </w:rPr>
            </w:pPr>
            <w:r w:rsidRPr="00837D04">
              <w:rPr>
                <w:rFonts w:cs="Times New Roman"/>
                <w:sz w:val="16"/>
                <w:szCs w:val="20"/>
              </w:rPr>
              <w:t>1.77e+20</w:t>
            </w:r>
          </w:p>
        </w:tc>
      </w:tr>
    </w:tbl>
    <w:p w:rsidR="00FE2C72" w:rsidRPr="00851813" w:rsidRDefault="004B7F99" w:rsidP="00DB6CFA">
      <w:pPr>
        <w:spacing w:after="0" w:line="240" w:lineRule="auto"/>
        <w:rPr>
          <w:rFonts w:cs="Times New Roman"/>
          <w:i/>
          <w:color w:val="000000" w:themeColor="text1"/>
          <w:sz w:val="20"/>
          <w:szCs w:val="20"/>
        </w:rPr>
      </w:pPr>
      <w:r w:rsidRPr="00851813">
        <w:rPr>
          <w:rFonts w:cs="Times New Roman"/>
          <w:i/>
          <w:color w:val="000000" w:themeColor="text1"/>
          <w:sz w:val="20"/>
          <w:szCs w:val="20"/>
        </w:rPr>
        <w:t>Source: World Bank</w:t>
      </w:r>
    </w:p>
    <w:p w:rsidR="0045750B" w:rsidRPr="00851813" w:rsidRDefault="00532E23" w:rsidP="00BA23A0">
      <w:pPr>
        <w:spacing w:after="0" w:line="240" w:lineRule="auto"/>
        <w:ind w:firstLine="720"/>
        <w:rPr>
          <w:rFonts w:cs="Times New Roman"/>
          <w:color w:val="000000" w:themeColor="text1"/>
          <w:sz w:val="20"/>
          <w:szCs w:val="20"/>
        </w:rPr>
      </w:pPr>
      <w:r w:rsidRPr="00851813">
        <w:rPr>
          <w:rFonts w:cs="Times New Roman"/>
          <w:color w:val="000000" w:themeColor="text1"/>
          <w:sz w:val="20"/>
          <w:szCs w:val="20"/>
        </w:rPr>
        <w:t>The regression result in table 3</w:t>
      </w:r>
      <w:r w:rsidR="00A361C0" w:rsidRPr="00851813">
        <w:rPr>
          <w:rFonts w:cs="Times New Roman"/>
          <w:color w:val="000000" w:themeColor="text1"/>
          <w:sz w:val="20"/>
          <w:szCs w:val="20"/>
        </w:rPr>
        <w:t xml:space="preserve"> shows </w:t>
      </w:r>
      <w:r w:rsidR="0045750B" w:rsidRPr="00851813">
        <w:rPr>
          <w:rFonts w:cs="Times New Roman"/>
          <w:color w:val="000000" w:themeColor="text1"/>
          <w:sz w:val="20"/>
          <w:szCs w:val="20"/>
        </w:rPr>
        <w:t>expected relationship</w:t>
      </w:r>
      <w:r w:rsidR="00A361C0" w:rsidRPr="00851813">
        <w:rPr>
          <w:rFonts w:cs="Times New Roman"/>
          <w:color w:val="000000" w:themeColor="text1"/>
          <w:sz w:val="20"/>
          <w:szCs w:val="20"/>
        </w:rPr>
        <w:t xml:space="preserve"> among the variables. </w:t>
      </w:r>
      <w:r w:rsidR="0045750B" w:rsidRPr="00851813">
        <w:rPr>
          <w:rFonts w:cs="Times New Roman"/>
          <w:color w:val="000000" w:themeColor="text1"/>
          <w:sz w:val="20"/>
          <w:szCs w:val="20"/>
        </w:rPr>
        <w:t>It</w:t>
      </w:r>
      <w:r w:rsidR="00A361C0" w:rsidRPr="00851813">
        <w:rPr>
          <w:rFonts w:cs="Times New Roman"/>
          <w:color w:val="000000" w:themeColor="text1"/>
          <w:sz w:val="20"/>
          <w:szCs w:val="20"/>
        </w:rPr>
        <w:t xml:space="preserve"> can </w:t>
      </w:r>
      <w:r w:rsidR="0045750B" w:rsidRPr="00851813">
        <w:rPr>
          <w:rFonts w:cs="Times New Roman"/>
          <w:color w:val="000000" w:themeColor="text1"/>
          <w:sz w:val="20"/>
          <w:szCs w:val="20"/>
        </w:rPr>
        <w:t xml:space="preserve">be </w:t>
      </w:r>
      <w:r w:rsidR="00A361C0" w:rsidRPr="00851813">
        <w:rPr>
          <w:rFonts w:cs="Times New Roman"/>
          <w:color w:val="000000" w:themeColor="text1"/>
          <w:sz w:val="20"/>
          <w:szCs w:val="20"/>
        </w:rPr>
        <w:t>see</w:t>
      </w:r>
      <w:r w:rsidR="0045750B" w:rsidRPr="00851813">
        <w:rPr>
          <w:rFonts w:cs="Times New Roman"/>
          <w:color w:val="000000" w:themeColor="text1"/>
          <w:sz w:val="20"/>
          <w:szCs w:val="20"/>
        </w:rPr>
        <w:t>n</w:t>
      </w:r>
      <w:r w:rsidR="00A361C0" w:rsidRPr="00851813">
        <w:rPr>
          <w:rFonts w:cs="Times New Roman"/>
          <w:color w:val="000000" w:themeColor="text1"/>
          <w:sz w:val="20"/>
          <w:szCs w:val="20"/>
        </w:rPr>
        <w:t xml:space="preserve"> that HHI and FDI and positively related with each other</w:t>
      </w:r>
      <w:r w:rsidR="0045750B" w:rsidRPr="00851813">
        <w:rPr>
          <w:rFonts w:cs="Times New Roman"/>
          <w:color w:val="000000" w:themeColor="text1"/>
          <w:sz w:val="20"/>
          <w:szCs w:val="20"/>
        </w:rPr>
        <w:t xml:space="preserve"> and FDI is statistically significant. </w:t>
      </w:r>
      <w:r w:rsidR="00A361C0" w:rsidRPr="00851813">
        <w:rPr>
          <w:rFonts w:cs="Times New Roman"/>
          <w:color w:val="000000" w:themeColor="text1"/>
          <w:sz w:val="20"/>
          <w:szCs w:val="20"/>
        </w:rPr>
        <w:t xml:space="preserve">This indicates </w:t>
      </w:r>
      <w:r w:rsidR="0045750B" w:rsidRPr="00851813">
        <w:rPr>
          <w:rFonts w:cs="Times New Roman"/>
          <w:color w:val="000000" w:themeColor="text1"/>
          <w:sz w:val="20"/>
          <w:szCs w:val="20"/>
        </w:rPr>
        <w:t>that</w:t>
      </w:r>
      <w:r w:rsidR="00A361C0" w:rsidRPr="00851813">
        <w:rPr>
          <w:rFonts w:cs="Times New Roman"/>
          <w:color w:val="000000" w:themeColor="text1"/>
          <w:sz w:val="20"/>
          <w:szCs w:val="20"/>
        </w:rPr>
        <w:t xml:space="preserve"> an increasing trend in FDI leads to high HHI ie.</w:t>
      </w:r>
      <w:r w:rsidR="0045750B" w:rsidRPr="00851813">
        <w:rPr>
          <w:rFonts w:cs="Times New Roman"/>
          <w:color w:val="000000" w:themeColor="text1"/>
          <w:sz w:val="20"/>
          <w:szCs w:val="20"/>
        </w:rPr>
        <w:t>, high</w:t>
      </w:r>
      <w:r w:rsidR="00A361C0" w:rsidRPr="00851813">
        <w:rPr>
          <w:rFonts w:cs="Times New Roman"/>
          <w:color w:val="000000" w:themeColor="text1"/>
          <w:sz w:val="20"/>
          <w:szCs w:val="20"/>
        </w:rPr>
        <w:t xml:space="preserve"> export concentration </w:t>
      </w:r>
      <w:r w:rsidR="0045750B" w:rsidRPr="00851813">
        <w:rPr>
          <w:rFonts w:cs="Times New Roman"/>
          <w:color w:val="000000" w:themeColor="text1"/>
          <w:sz w:val="20"/>
          <w:szCs w:val="20"/>
        </w:rPr>
        <w:t>ratio and less export diversification.</w:t>
      </w:r>
    </w:p>
    <w:p w:rsidR="00EE24C6" w:rsidRDefault="0045750B" w:rsidP="00BA23A0">
      <w:pPr>
        <w:spacing w:after="0" w:line="240" w:lineRule="auto"/>
        <w:ind w:firstLine="720"/>
        <w:rPr>
          <w:rFonts w:cs="Times New Roman"/>
          <w:sz w:val="20"/>
          <w:szCs w:val="20"/>
        </w:rPr>
      </w:pPr>
      <w:r w:rsidRPr="00851813">
        <w:rPr>
          <w:rFonts w:cs="Times New Roman"/>
          <w:sz w:val="20"/>
          <w:szCs w:val="20"/>
        </w:rPr>
        <w:t xml:space="preserve">GDP is also statistically significant and </w:t>
      </w:r>
      <w:r w:rsidR="00EE24C6" w:rsidRPr="00851813">
        <w:rPr>
          <w:rFonts w:cs="Times New Roman"/>
          <w:sz w:val="20"/>
          <w:szCs w:val="20"/>
        </w:rPr>
        <w:t>is negatively related with HHI. This indicates that with higher growth rate, export concentration ratio decreases which further increases the diversification of export.</w:t>
      </w:r>
    </w:p>
    <w:p w:rsidR="00837D04" w:rsidRPr="00851813" w:rsidRDefault="00837D04" w:rsidP="00DB6CFA">
      <w:pPr>
        <w:spacing w:after="0" w:line="240" w:lineRule="auto"/>
        <w:rPr>
          <w:rFonts w:cs="Times New Roman"/>
          <w:sz w:val="20"/>
          <w:szCs w:val="20"/>
        </w:rPr>
      </w:pPr>
    </w:p>
    <w:p w:rsidR="008A11F4" w:rsidRPr="00851813" w:rsidRDefault="009E5C5E" w:rsidP="00837D04">
      <w:pPr>
        <w:pStyle w:val="Heading1"/>
        <w:spacing w:before="0" w:line="240" w:lineRule="auto"/>
        <w:ind w:left="360" w:hanging="360"/>
        <w:jc w:val="both"/>
        <w:rPr>
          <w:rFonts w:cs="Times New Roman"/>
          <w:sz w:val="20"/>
          <w:szCs w:val="20"/>
        </w:rPr>
      </w:pPr>
      <w:r w:rsidRPr="00851813">
        <w:rPr>
          <w:rFonts w:cs="Times New Roman"/>
          <w:sz w:val="20"/>
          <w:szCs w:val="20"/>
        </w:rPr>
        <w:t>1.</w:t>
      </w:r>
      <w:r w:rsidR="004B7F99" w:rsidRPr="00851813">
        <w:rPr>
          <w:rFonts w:cs="Times New Roman"/>
          <w:sz w:val="20"/>
          <w:szCs w:val="20"/>
        </w:rPr>
        <w:t>4</w:t>
      </w:r>
      <w:r w:rsidR="004B7F99" w:rsidRPr="00851813">
        <w:rPr>
          <w:rFonts w:cs="Times New Roman"/>
          <w:sz w:val="20"/>
          <w:szCs w:val="20"/>
        </w:rPr>
        <w:tab/>
      </w:r>
      <w:r w:rsidR="008A11F4" w:rsidRPr="00851813">
        <w:rPr>
          <w:rFonts w:cs="Times New Roman"/>
          <w:sz w:val="20"/>
          <w:szCs w:val="20"/>
        </w:rPr>
        <w:t xml:space="preserve">Findings and Interpretation </w:t>
      </w:r>
    </w:p>
    <w:p w:rsidR="009E5C5E" w:rsidRPr="00851813" w:rsidRDefault="00C52873" w:rsidP="00BA23A0">
      <w:pPr>
        <w:spacing w:after="0" w:line="240" w:lineRule="auto"/>
        <w:ind w:firstLine="720"/>
        <w:rPr>
          <w:rFonts w:cs="Times New Roman"/>
          <w:sz w:val="20"/>
          <w:szCs w:val="20"/>
        </w:rPr>
      </w:pPr>
      <w:r w:rsidRPr="00851813">
        <w:rPr>
          <w:rFonts w:cs="Times New Roman"/>
          <w:sz w:val="20"/>
          <w:szCs w:val="20"/>
        </w:rPr>
        <w:t>The paper</w:t>
      </w:r>
      <w:r w:rsidR="00920228" w:rsidRPr="00851813">
        <w:rPr>
          <w:rFonts w:cs="Times New Roman"/>
          <w:sz w:val="20"/>
          <w:szCs w:val="20"/>
        </w:rPr>
        <w:t xml:space="preserve"> has identified the factors that lead to increasing flow of FDI in Malaysia. They are increasing trend of GDP, rising inflation, increasing time spend on governing by the government and reducing tax rate. </w:t>
      </w:r>
    </w:p>
    <w:p w:rsidR="00920228" w:rsidRPr="00851813" w:rsidRDefault="00920228" w:rsidP="00BA23A0">
      <w:pPr>
        <w:pStyle w:val="ListParagraph"/>
        <w:spacing w:after="0" w:line="240" w:lineRule="auto"/>
        <w:ind w:left="0" w:firstLine="720"/>
        <w:rPr>
          <w:rFonts w:cs="Times New Roman"/>
          <w:color w:val="000000" w:themeColor="text1"/>
          <w:sz w:val="20"/>
          <w:szCs w:val="20"/>
        </w:rPr>
      </w:pPr>
      <w:r w:rsidRPr="00851813">
        <w:rPr>
          <w:rFonts w:cs="Times New Roman"/>
          <w:color w:val="000000" w:themeColor="text1"/>
          <w:sz w:val="20"/>
          <w:szCs w:val="20"/>
        </w:rPr>
        <w:t xml:space="preserve">By applying a GLS technique of regression it has been found that an increasing trend in GDP actually helps to capture more FDI inflow in the country. Inflation is also positively related with FDI inflow. That is with inflation price level increases which again increases the volumes of inflow of FDI in Malaysia. Similarly, time spend on governing is also positive and significantly related with inflow of FDI of the country. More time spend is an indicator of good governance power. On the contrary, tax rate </w:t>
      </w:r>
      <w:r w:rsidR="00C52873" w:rsidRPr="00851813">
        <w:rPr>
          <w:rFonts w:cs="Times New Roman"/>
          <w:color w:val="000000" w:themeColor="text1"/>
          <w:sz w:val="20"/>
          <w:szCs w:val="20"/>
        </w:rPr>
        <w:t>is expected</w:t>
      </w:r>
      <w:r w:rsidRPr="00851813">
        <w:rPr>
          <w:rFonts w:cs="Times New Roman"/>
          <w:color w:val="000000" w:themeColor="text1"/>
          <w:sz w:val="20"/>
          <w:szCs w:val="20"/>
        </w:rPr>
        <w:t xml:space="preserve"> to be negatively related </w:t>
      </w:r>
      <w:r w:rsidR="00C52873" w:rsidRPr="00851813">
        <w:rPr>
          <w:rFonts w:cs="Times New Roman"/>
          <w:color w:val="000000" w:themeColor="text1"/>
          <w:sz w:val="20"/>
          <w:szCs w:val="20"/>
        </w:rPr>
        <w:t>with the level of inflow of FDI because</w:t>
      </w:r>
      <w:r w:rsidRPr="00851813">
        <w:rPr>
          <w:rFonts w:cs="Times New Roman"/>
          <w:color w:val="000000" w:themeColor="text1"/>
          <w:sz w:val="20"/>
          <w:szCs w:val="20"/>
        </w:rPr>
        <w:t xml:space="preserve"> less foreign firms will be attracted to invest in a country with high burden of tax.</w:t>
      </w:r>
    </w:p>
    <w:p w:rsidR="00C52873" w:rsidRPr="00851813" w:rsidRDefault="00C52873" w:rsidP="00BA23A0">
      <w:pPr>
        <w:pStyle w:val="ListParagraph"/>
        <w:spacing w:after="0" w:line="240" w:lineRule="auto"/>
        <w:ind w:left="0" w:firstLine="720"/>
        <w:rPr>
          <w:rFonts w:cs="Times New Roman"/>
          <w:color w:val="000000" w:themeColor="text1"/>
          <w:sz w:val="20"/>
          <w:szCs w:val="20"/>
        </w:rPr>
      </w:pPr>
      <w:r w:rsidRPr="00851813">
        <w:rPr>
          <w:rFonts w:cs="Times New Roman"/>
          <w:color w:val="000000" w:themeColor="text1"/>
          <w:sz w:val="20"/>
          <w:szCs w:val="20"/>
        </w:rPr>
        <w:t>The paper also conclude that the inflow of FDI has lead to fall in diversification of export and increase</w:t>
      </w:r>
      <w:r w:rsidR="00344830" w:rsidRPr="00851813">
        <w:rPr>
          <w:rFonts w:cs="Times New Roman"/>
          <w:color w:val="000000" w:themeColor="text1"/>
          <w:sz w:val="20"/>
          <w:szCs w:val="20"/>
        </w:rPr>
        <w:t>s the</w:t>
      </w:r>
      <w:r w:rsidRPr="00851813">
        <w:rPr>
          <w:rFonts w:cs="Times New Roman"/>
          <w:color w:val="000000" w:themeColor="text1"/>
          <w:sz w:val="20"/>
          <w:szCs w:val="20"/>
        </w:rPr>
        <w:t xml:space="preserve"> export concentration ratio between the service, agriculture and manufacturing sector of Malaysia</w:t>
      </w:r>
      <w:r w:rsidR="00CC54F6" w:rsidRPr="00851813">
        <w:rPr>
          <w:rFonts w:cs="Times New Roman"/>
          <w:color w:val="000000" w:themeColor="text1"/>
          <w:sz w:val="20"/>
          <w:szCs w:val="20"/>
        </w:rPr>
        <w:t>. This has been shown by the GLS technique of regression where the FDI and GDP has been identified as statistically significant</w:t>
      </w:r>
      <w:r w:rsidR="00344830" w:rsidRPr="00851813">
        <w:rPr>
          <w:rFonts w:cs="Times New Roman"/>
          <w:color w:val="000000" w:themeColor="text1"/>
          <w:sz w:val="20"/>
          <w:szCs w:val="20"/>
        </w:rPr>
        <w:t xml:space="preserve"> with rising FDI leading to high export concentration </w:t>
      </w:r>
      <w:r w:rsidR="00CC54F6" w:rsidRPr="00851813">
        <w:rPr>
          <w:rFonts w:cs="Times New Roman"/>
          <w:color w:val="000000" w:themeColor="text1"/>
          <w:sz w:val="20"/>
          <w:szCs w:val="20"/>
        </w:rPr>
        <w:t xml:space="preserve"> </w:t>
      </w:r>
      <w:r w:rsidR="00344830" w:rsidRPr="00851813">
        <w:rPr>
          <w:rFonts w:cs="Times New Roman"/>
          <w:color w:val="000000" w:themeColor="text1"/>
          <w:sz w:val="20"/>
          <w:szCs w:val="20"/>
        </w:rPr>
        <w:t>ratio and rising GDP leading to high export diversification.</w:t>
      </w:r>
      <w:r w:rsidR="00DA426E" w:rsidRPr="00851813">
        <w:rPr>
          <w:rFonts w:cs="Times New Roman"/>
          <w:color w:val="000000" w:themeColor="text1"/>
          <w:sz w:val="20"/>
          <w:szCs w:val="20"/>
        </w:rPr>
        <w:t xml:space="preserve"> </w:t>
      </w:r>
    </w:p>
    <w:p w:rsidR="006450F0" w:rsidRPr="00851813" w:rsidRDefault="00BA23A0" w:rsidP="00DB6CFA">
      <w:pPr>
        <w:pStyle w:val="ListParagraph"/>
        <w:spacing w:after="0" w:line="240" w:lineRule="auto"/>
        <w:ind w:left="0"/>
        <w:rPr>
          <w:rFonts w:cs="Times New Roman"/>
          <w:color w:val="000000" w:themeColor="text1"/>
          <w:sz w:val="20"/>
          <w:szCs w:val="20"/>
        </w:rPr>
      </w:pPr>
      <w:r>
        <w:rPr>
          <w:rFonts w:cs="Times New Roman"/>
          <w:color w:val="000000" w:themeColor="text1"/>
          <w:sz w:val="20"/>
          <w:szCs w:val="20"/>
        </w:rPr>
        <w:tab/>
      </w:r>
      <w:r w:rsidR="00DA426E" w:rsidRPr="00851813">
        <w:rPr>
          <w:rFonts w:cs="Times New Roman"/>
          <w:color w:val="000000" w:themeColor="text1"/>
          <w:sz w:val="20"/>
          <w:szCs w:val="20"/>
        </w:rPr>
        <w:t>The rising FDI leading to high export concentration ratio can be interpreted from the explanation given by Varela (2013) that a resource-rich country will have more concentrated export structure and the flow of FDI will be tilted more in the resource-rich sectors than the other sectors. As Malaysia is a re</w:t>
      </w:r>
      <w:r w:rsidR="006450F0" w:rsidRPr="00851813">
        <w:rPr>
          <w:rFonts w:cs="Times New Roman"/>
          <w:color w:val="000000" w:themeColor="text1"/>
          <w:sz w:val="20"/>
          <w:szCs w:val="20"/>
        </w:rPr>
        <w:t>source-rich country in terms of minerals so the concentration of export is more in those sectors.</w:t>
      </w:r>
      <w:r w:rsidR="00AD6174" w:rsidRPr="00851813">
        <w:rPr>
          <w:rFonts w:cs="Times New Roman"/>
          <w:color w:val="000000" w:themeColor="text1"/>
          <w:sz w:val="20"/>
          <w:szCs w:val="20"/>
        </w:rPr>
        <w:t xml:space="preserve"> However, the positive relation between rising GDP and export diversification can be further studied through an empirical work and thus pave the way for another research.</w:t>
      </w:r>
    </w:p>
    <w:p w:rsidR="00AD6174" w:rsidRPr="00851813" w:rsidRDefault="00862562" w:rsidP="00DB6CFA">
      <w:pPr>
        <w:pStyle w:val="Heading1"/>
        <w:spacing w:before="0" w:line="240" w:lineRule="auto"/>
        <w:jc w:val="both"/>
        <w:rPr>
          <w:rFonts w:cs="Times New Roman"/>
          <w:sz w:val="20"/>
          <w:szCs w:val="20"/>
        </w:rPr>
      </w:pPr>
      <w:r w:rsidRPr="00851813">
        <w:rPr>
          <w:rFonts w:cs="Times New Roman"/>
          <w:sz w:val="20"/>
          <w:szCs w:val="20"/>
        </w:rPr>
        <w:lastRenderedPageBreak/>
        <w:t>BIBLIOGRAPHY</w:t>
      </w:r>
      <w:r w:rsidR="00365759">
        <w:rPr>
          <w:rFonts w:cs="Times New Roman"/>
          <w:sz w:val="20"/>
          <w:szCs w:val="20"/>
        </w:rPr>
        <w:t xml:space="preserve"> </w:t>
      </w:r>
      <w:r w:rsidR="00365759" w:rsidRPr="00365759">
        <w:rPr>
          <w:rFonts w:cs="Times New Roman"/>
          <w:color w:val="FF0000"/>
          <w:sz w:val="20"/>
          <w:szCs w:val="20"/>
        </w:rPr>
        <w:t>(10 Bold)</w:t>
      </w:r>
    </w:p>
    <w:p w:rsidR="00AD6174" w:rsidRPr="00855C98" w:rsidRDefault="00AD6174" w:rsidP="00D04986">
      <w:pPr>
        <w:pStyle w:val="ListParagraph"/>
        <w:numPr>
          <w:ilvl w:val="0"/>
          <w:numId w:val="5"/>
        </w:numPr>
        <w:spacing w:after="0" w:line="240" w:lineRule="auto"/>
        <w:ind w:left="540" w:hanging="540"/>
        <w:rPr>
          <w:rFonts w:cs="Times New Roman"/>
          <w:sz w:val="16"/>
          <w:szCs w:val="20"/>
        </w:rPr>
      </w:pPr>
      <w:r w:rsidRPr="00855C98">
        <w:rPr>
          <w:rFonts w:cs="Times New Roman"/>
          <w:sz w:val="16"/>
          <w:szCs w:val="20"/>
        </w:rPr>
        <w:t>Cascetta, E. (1984). Estimation of trip matrices from traffic counts and survey data: a generalized least squares estimator. Transportation Research Part B: Methodological, 18(4-5), 289-299.</w:t>
      </w:r>
    </w:p>
    <w:p w:rsidR="00AD6174" w:rsidRPr="00855C98" w:rsidRDefault="00AD6174" w:rsidP="00D04986">
      <w:pPr>
        <w:pStyle w:val="ListParagraph"/>
        <w:numPr>
          <w:ilvl w:val="0"/>
          <w:numId w:val="5"/>
        </w:numPr>
        <w:spacing w:after="0" w:line="240" w:lineRule="auto"/>
        <w:ind w:left="540" w:hanging="540"/>
        <w:rPr>
          <w:rFonts w:cs="Times New Roman"/>
          <w:sz w:val="16"/>
          <w:szCs w:val="20"/>
        </w:rPr>
      </w:pPr>
      <w:r w:rsidRPr="00855C98">
        <w:rPr>
          <w:rFonts w:cs="Times New Roman"/>
          <w:sz w:val="16"/>
          <w:szCs w:val="20"/>
        </w:rPr>
        <w:t>Griffith, D. A., &amp; Lagona, F. (1998). On the quality of likelihood-based estimators in spatial autoregressive models when the data dependence structure is misspecified. Journal of Statistical Planning and Inference, 69(1), 153-174.</w:t>
      </w:r>
    </w:p>
    <w:p w:rsidR="00AD6174" w:rsidRPr="00855C98" w:rsidRDefault="00AD6174" w:rsidP="00D04986">
      <w:pPr>
        <w:pStyle w:val="ListParagraph"/>
        <w:numPr>
          <w:ilvl w:val="0"/>
          <w:numId w:val="5"/>
        </w:numPr>
        <w:spacing w:after="0" w:line="240" w:lineRule="auto"/>
        <w:ind w:left="540" w:hanging="540"/>
        <w:rPr>
          <w:rFonts w:cs="Times New Roman"/>
          <w:sz w:val="16"/>
          <w:szCs w:val="20"/>
        </w:rPr>
      </w:pPr>
      <w:r w:rsidRPr="00855C98">
        <w:rPr>
          <w:rFonts w:cs="Times New Roman"/>
          <w:sz w:val="16"/>
          <w:szCs w:val="20"/>
        </w:rPr>
        <w:t>Heckman, J. J. (1976). The common structure of statistical models of truncation, sample selection and limited dependent variables and a simple estimator for such models. In Annals of Economic and Social Measurement, Volume 5, number 4 (pp. 475-492). NBER.</w:t>
      </w:r>
    </w:p>
    <w:p w:rsidR="00283C2A" w:rsidRPr="00855C98" w:rsidRDefault="00AD6174" w:rsidP="00D04986">
      <w:pPr>
        <w:pStyle w:val="ListParagraph"/>
        <w:numPr>
          <w:ilvl w:val="0"/>
          <w:numId w:val="5"/>
        </w:numPr>
        <w:spacing w:after="0" w:line="240" w:lineRule="auto"/>
        <w:ind w:left="540" w:hanging="540"/>
        <w:rPr>
          <w:rFonts w:cs="Times New Roman"/>
          <w:sz w:val="16"/>
          <w:szCs w:val="20"/>
        </w:rPr>
      </w:pPr>
      <w:r w:rsidRPr="00855C98">
        <w:rPr>
          <w:rFonts w:cs="Times New Roman"/>
          <w:sz w:val="16"/>
          <w:szCs w:val="20"/>
        </w:rPr>
        <w:t xml:space="preserve">Herzer, D., &amp; Nowak-Lehmann, F. D. (2004). Export diversification, externalities and growth. Göttingen: Ibero-America Institute for Economic Research </w:t>
      </w:r>
    </w:p>
    <w:p w:rsidR="00AD6174" w:rsidRPr="00855C98" w:rsidRDefault="00AD6174" w:rsidP="00D04986">
      <w:pPr>
        <w:pStyle w:val="ListParagraph"/>
        <w:numPr>
          <w:ilvl w:val="0"/>
          <w:numId w:val="5"/>
        </w:numPr>
        <w:spacing w:after="0" w:line="240" w:lineRule="auto"/>
        <w:ind w:left="540" w:hanging="540"/>
        <w:rPr>
          <w:rFonts w:cs="Times New Roman"/>
          <w:sz w:val="16"/>
          <w:szCs w:val="20"/>
        </w:rPr>
      </w:pPr>
      <w:r w:rsidRPr="00855C98">
        <w:rPr>
          <w:rFonts w:cs="Times New Roman"/>
          <w:sz w:val="16"/>
          <w:szCs w:val="20"/>
        </w:rPr>
        <w:t>Imbs, J. &amp; Wacziarg, R. (2003). "Stages of Diversification," American Economic</w:t>
      </w:r>
      <w:r w:rsidR="00283C2A" w:rsidRPr="00855C98">
        <w:rPr>
          <w:rFonts w:cs="Times New Roman"/>
          <w:sz w:val="16"/>
          <w:szCs w:val="20"/>
        </w:rPr>
        <w:t xml:space="preserve"> </w:t>
      </w:r>
      <w:r w:rsidRPr="00855C98">
        <w:rPr>
          <w:rFonts w:cs="Times New Roman"/>
          <w:sz w:val="16"/>
          <w:szCs w:val="20"/>
        </w:rPr>
        <w:t xml:space="preserve">Inc </w:t>
      </w:r>
    </w:p>
    <w:p w:rsidR="00AD6174" w:rsidRPr="00855C98" w:rsidRDefault="00AD6174" w:rsidP="00D04986">
      <w:pPr>
        <w:pStyle w:val="ListParagraph"/>
        <w:numPr>
          <w:ilvl w:val="0"/>
          <w:numId w:val="5"/>
        </w:numPr>
        <w:spacing w:after="0" w:line="240" w:lineRule="auto"/>
        <w:ind w:left="540" w:hanging="540"/>
        <w:rPr>
          <w:rFonts w:cs="Times New Roman"/>
          <w:sz w:val="16"/>
          <w:szCs w:val="20"/>
        </w:rPr>
      </w:pPr>
      <w:r w:rsidRPr="00855C98">
        <w:rPr>
          <w:rFonts w:cs="Times New Roman"/>
          <w:sz w:val="16"/>
          <w:szCs w:val="20"/>
        </w:rPr>
        <w:t>Krämer, W., Bartels, R., &amp; Fiebig, D. G. (1996). Another twist on the equality of OLS and GLS. Statistical Papers, 37(3), 277-281.</w:t>
      </w:r>
    </w:p>
    <w:p w:rsidR="00AD6174" w:rsidRPr="00855C98" w:rsidRDefault="00AD6174" w:rsidP="00D04986">
      <w:pPr>
        <w:pStyle w:val="ListParagraph"/>
        <w:numPr>
          <w:ilvl w:val="0"/>
          <w:numId w:val="5"/>
        </w:numPr>
        <w:spacing w:after="0" w:line="240" w:lineRule="auto"/>
        <w:ind w:left="540" w:hanging="540"/>
        <w:rPr>
          <w:rFonts w:cs="Times New Roman"/>
          <w:sz w:val="16"/>
          <w:szCs w:val="20"/>
        </w:rPr>
      </w:pPr>
      <w:r w:rsidRPr="00855C98">
        <w:rPr>
          <w:rFonts w:cs="Times New Roman"/>
          <w:sz w:val="16"/>
          <w:szCs w:val="20"/>
        </w:rPr>
        <w:t xml:space="preserve">Rodriguez, F., &amp; Rodrik, D. (1999). Trade policy and economic growth: a skeptic's guide to cross-national evidence. Cambridge: National Bureau of Economic Research, and Development Working Paper. Washinton D.C.: The World Bank. </w:t>
      </w:r>
    </w:p>
    <w:p w:rsidR="00283C2A" w:rsidRPr="00855C98" w:rsidRDefault="00AD6174" w:rsidP="00D04986">
      <w:pPr>
        <w:pStyle w:val="ListParagraph"/>
        <w:numPr>
          <w:ilvl w:val="0"/>
          <w:numId w:val="5"/>
        </w:numPr>
        <w:spacing w:after="0" w:line="240" w:lineRule="auto"/>
        <w:ind w:left="540" w:hanging="540"/>
        <w:rPr>
          <w:rFonts w:cs="Times New Roman"/>
          <w:sz w:val="16"/>
          <w:szCs w:val="20"/>
        </w:rPr>
      </w:pPr>
      <w:r w:rsidRPr="00855C98">
        <w:rPr>
          <w:rFonts w:cs="Times New Roman"/>
          <w:sz w:val="16"/>
          <w:szCs w:val="20"/>
        </w:rPr>
        <w:t xml:space="preserve">Sachs, J-D &amp; Warner, A-M. (1995). "Natural Resource Abundance and Economic </w:t>
      </w:r>
      <w:r w:rsidR="00283C2A" w:rsidRPr="00855C98">
        <w:rPr>
          <w:rFonts w:cs="Times New Roman"/>
          <w:sz w:val="16"/>
          <w:szCs w:val="20"/>
        </w:rPr>
        <w:t>Growth," Papers 517a, Harvard - Institute for International Development.</w:t>
      </w:r>
    </w:p>
    <w:p w:rsidR="00AD6174" w:rsidRPr="00855C98" w:rsidRDefault="00AD6174" w:rsidP="00D04986">
      <w:pPr>
        <w:pStyle w:val="ListParagraph"/>
        <w:numPr>
          <w:ilvl w:val="0"/>
          <w:numId w:val="5"/>
        </w:numPr>
        <w:spacing w:after="0" w:line="240" w:lineRule="auto"/>
        <w:ind w:left="540" w:hanging="540"/>
        <w:rPr>
          <w:rFonts w:cs="Times New Roman"/>
          <w:sz w:val="16"/>
          <w:szCs w:val="20"/>
        </w:rPr>
      </w:pPr>
      <w:r w:rsidRPr="00855C98">
        <w:rPr>
          <w:rFonts w:cs="Times New Roman"/>
          <w:sz w:val="16"/>
          <w:szCs w:val="20"/>
        </w:rPr>
        <w:t xml:space="preserve">Varela, Gonzalo J. (2013). "Export diversification in twelve European and Central Asian countries and the role of the commodity boom," Policy Research Working Paper Series 6472, The World Bank. </w:t>
      </w:r>
    </w:p>
    <w:sectPr w:rsidR="00AD6174" w:rsidRPr="00855C98" w:rsidSect="00937600">
      <w:headerReference w:type="even" r:id="rId18"/>
      <w:headerReference w:type="default" r:id="rId19"/>
      <w:footerReference w:type="even" r:id="rId20"/>
      <w:footerReference w:type="default" r:id="rId21"/>
      <w:headerReference w:type="first" r:id="rId22"/>
      <w:footerReference w:type="first" r:id="rId23"/>
      <w:pgSz w:w="11906" w:h="16838" w:code="9"/>
      <w:pgMar w:top="1440" w:right="1440" w:bottom="1440" w:left="1440" w:header="1138" w:footer="113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327B" w:rsidRDefault="005A327B" w:rsidP="00920228">
      <w:pPr>
        <w:spacing w:after="0" w:line="240" w:lineRule="auto"/>
      </w:pPr>
      <w:r>
        <w:separator/>
      </w:r>
    </w:p>
  </w:endnote>
  <w:endnote w:type="continuationSeparator" w:id="1">
    <w:p w:rsidR="005A327B" w:rsidRDefault="005A327B" w:rsidP="009202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4B1" w:rsidRDefault="002114B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C99" w:rsidRPr="004379AA" w:rsidRDefault="009E0C99" w:rsidP="009E0C99">
    <w:pPr>
      <w:pStyle w:val="Footer"/>
      <w:pBdr>
        <w:top w:val="single" w:sz="4" w:space="1" w:color="auto"/>
      </w:pBdr>
      <w:ind w:right="27"/>
      <w:jc w:val="center"/>
      <w:rPr>
        <w:sz w:val="20"/>
      </w:rPr>
    </w:pPr>
    <w:r w:rsidRPr="004379AA">
      <w:rPr>
        <w:color w:val="1D1B11"/>
        <w:sz w:val="20"/>
      </w:rPr>
      <w:t xml:space="preserve">                                                                                 www.ijbmi.org                                                           </w:t>
    </w:r>
    <w:r w:rsidR="00F679E5" w:rsidRPr="004379AA">
      <w:rPr>
        <w:color w:val="1D1B11"/>
        <w:sz w:val="20"/>
      </w:rPr>
      <w:fldChar w:fldCharType="begin"/>
    </w:r>
    <w:r w:rsidRPr="004379AA">
      <w:rPr>
        <w:color w:val="1D1B11"/>
        <w:sz w:val="20"/>
      </w:rPr>
      <w:instrText xml:space="preserve"> PAGE  \* Arabic  \* MERGEFORMAT </w:instrText>
    </w:r>
    <w:r w:rsidR="00F679E5" w:rsidRPr="004379AA">
      <w:rPr>
        <w:color w:val="1D1B11"/>
        <w:sz w:val="20"/>
      </w:rPr>
      <w:fldChar w:fldCharType="separate"/>
    </w:r>
    <w:r w:rsidR="00DC3BED">
      <w:rPr>
        <w:noProof/>
        <w:color w:val="1D1B11"/>
        <w:sz w:val="20"/>
      </w:rPr>
      <w:t>8</w:t>
    </w:r>
    <w:r w:rsidR="00F679E5" w:rsidRPr="004379AA">
      <w:rPr>
        <w:color w:val="1D1B11"/>
        <w:sz w:val="20"/>
      </w:rPr>
      <w:fldChar w:fldCharType="end"/>
    </w:r>
    <w:r w:rsidRPr="004379AA">
      <w:rPr>
        <w:color w:val="1D1B11"/>
        <w:sz w:val="20"/>
      </w:rPr>
      <w:t xml:space="preserve"> | Page</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C99" w:rsidRPr="004379AA" w:rsidRDefault="009E0C99" w:rsidP="009E0C99">
    <w:pPr>
      <w:pStyle w:val="Footer"/>
      <w:pBdr>
        <w:top w:val="single" w:sz="4" w:space="1" w:color="auto"/>
      </w:pBdr>
      <w:ind w:right="27"/>
      <w:jc w:val="center"/>
      <w:rPr>
        <w:sz w:val="20"/>
      </w:rPr>
    </w:pPr>
    <w:r w:rsidRPr="004379AA">
      <w:rPr>
        <w:color w:val="1D1B11"/>
        <w:sz w:val="20"/>
      </w:rPr>
      <w:t xml:space="preserve">                                                                                 www.ijbmi.org                                                           </w:t>
    </w:r>
    <w:r w:rsidR="00F679E5" w:rsidRPr="004379AA">
      <w:rPr>
        <w:color w:val="1D1B11"/>
        <w:sz w:val="20"/>
      </w:rPr>
      <w:fldChar w:fldCharType="begin"/>
    </w:r>
    <w:r w:rsidRPr="004379AA">
      <w:rPr>
        <w:color w:val="1D1B11"/>
        <w:sz w:val="20"/>
      </w:rPr>
      <w:instrText xml:space="preserve"> PAGE  \* Arabic  \* MERGEFORMAT </w:instrText>
    </w:r>
    <w:r w:rsidR="00F679E5" w:rsidRPr="004379AA">
      <w:rPr>
        <w:color w:val="1D1B11"/>
        <w:sz w:val="20"/>
      </w:rPr>
      <w:fldChar w:fldCharType="separate"/>
    </w:r>
    <w:r w:rsidR="00DC3BED">
      <w:rPr>
        <w:noProof/>
        <w:color w:val="1D1B11"/>
        <w:sz w:val="20"/>
      </w:rPr>
      <w:t>1</w:t>
    </w:r>
    <w:r w:rsidR="00F679E5" w:rsidRPr="004379AA">
      <w:rPr>
        <w:color w:val="1D1B11"/>
        <w:sz w:val="20"/>
      </w:rPr>
      <w:fldChar w:fldCharType="end"/>
    </w:r>
    <w:r w:rsidRPr="004379AA">
      <w:rPr>
        <w:color w:val="1D1B11"/>
        <w:sz w:val="20"/>
      </w:rPr>
      <w:t xml:space="preserve"> | Page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327B" w:rsidRDefault="005A327B" w:rsidP="00920228">
      <w:pPr>
        <w:spacing w:after="0" w:line="240" w:lineRule="auto"/>
      </w:pPr>
      <w:r>
        <w:separator/>
      </w:r>
    </w:p>
  </w:footnote>
  <w:footnote w:type="continuationSeparator" w:id="1">
    <w:p w:rsidR="005A327B" w:rsidRDefault="005A327B" w:rsidP="00920228">
      <w:pPr>
        <w:spacing w:after="0" w:line="240" w:lineRule="auto"/>
      </w:pPr>
      <w:r>
        <w:continuationSeparator/>
      </w:r>
    </w:p>
  </w:footnote>
  <w:footnote w:id="2">
    <w:p w:rsidR="008329B8" w:rsidRPr="008329B8" w:rsidRDefault="008329B8" w:rsidP="008329B8">
      <w:pPr>
        <w:pStyle w:val="ListParagraph"/>
        <w:ind w:left="0"/>
        <w:rPr>
          <w:rFonts w:cs="Times New Roman"/>
          <w:color w:val="000000" w:themeColor="text1"/>
          <w:sz w:val="18"/>
          <w:szCs w:val="18"/>
        </w:rPr>
      </w:pPr>
      <w:r>
        <w:rPr>
          <w:rStyle w:val="FootnoteReference"/>
        </w:rPr>
        <w:footnoteRef/>
      </w:r>
      <w:r>
        <w:t xml:space="preserve"> </w:t>
      </w:r>
      <w:r w:rsidRPr="008329B8">
        <w:rPr>
          <w:rFonts w:cs="Times New Roman"/>
          <w:color w:val="000000" w:themeColor="text1"/>
          <w:sz w:val="18"/>
          <w:szCs w:val="18"/>
        </w:rPr>
        <w:t>The major difference between OLS and GLS model is based on the assumptions regarding the error term in the model. In case of OLS regression, we assume that </w:t>
      </w:r>
      <w:r w:rsidRPr="008329B8">
        <w:rPr>
          <w:rFonts w:cs="Times New Roman"/>
          <w:color w:val="000000" w:themeColor="text1"/>
          <w:sz w:val="18"/>
          <w:szCs w:val="18"/>
        </w:rPr>
        <w:tab/>
      </w:r>
      <w:r w:rsidRPr="008329B8">
        <w:rPr>
          <w:rFonts w:cs="Times New Roman"/>
          <w:color w:val="000000" w:themeColor="text1"/>
          <w:sz w:val="18"/>
          <w:szCs w:val="18"/>
        </w:rPr>
        <w:tab/>
      </w:r>
      <w:r w:rsidRPr="008329B8">
        <w:rPr>
          <w:rFonts w:cs="Times New Roman"/>
          <w:color w:val="000000" w:themeColor="text1"/>
          <w:sz w:val="18"/>
          <w:szCs w:val="18"/>
        </w:rPr>
        <w:tab/>
      </w:r>
      <w:r w:rsidRPr="008329B8">
        <w:rPr>
          <w:rFonts w:cs="Times New Roman"/>
          <w:color w:val="000000" w:themeColor="text1"/>
          <w:sz w:val="18"/>
          <w:szCs w:val="18"/>
        </w:rPr>
        <w:tab/>
      </w:r>
      <w:r w:rsidRPr="008329B8">
        <w:rPr>
          <w:rFonts w:cs="Times New Roman"/>
          <w:color w:val="000000" w:themeColor="text1"/>
          <w:sz w:val="18"/>
          <w:szCs w:val="18"/>
        </w:rPr>
        <w:tab/>
      </w:r>
      <w:r w:rsidRPr="008329B8">
        <w:rPr>
          <w:rFonts w:cs="Times New Roman"/>
          <w:color w:val="000000" w:themeColor="text1"/>
          <w:sz w:val="18"/>
          <w:szCs w:val="18"/>
        </w:rPr>
        <w:tab/>
      </w:r>
      <w:r w:rsidRPr="008329B8">
        <w:rPr>
          <w:rFonts w:cs="Times New Roman"/>
          <w:color w:val="000000" w:themeColor="text1"/>
          <w:sz w:val="18"/>
          <w:szCs w:val="18"/>
        </w:rPr>
        <w:tab/>
      </w:r>
      <w:r w:rsidRPr="008329B8">
        <w:rPr>
          <w:rFonts w:cs="Times New Roman"/>
          <w:color w:val="000000" w:themeColor="text1"/>
          <w:sz w:val="18"/>
          <w:szCs w:val="18"/>
        </w:rPr>
        <w:tab/>
      </w:r>
      <w:r w:rsidRPr="008329B8">
        <w:rPr>
          <w:rFonts w:cs="Times New Roman"/>
          <w:color w:val="000000" w:themeColor="text1"/>
          <w:sz w:val="18"/>
          <w:szCs w:val="18"/>
        </w:rPr>
        <w:tab/>
        <w:t>Var(u)=σ2IVar(u)=σ2I,</w:t>
      </w:r>
      <w:r>
        <w:rPr>
          <w:rFonts w:cs="Times New Roman"/>
          <w:color w:val="000000" w:themeColor="text1"/>
          <w:sz w:val="18"/>
          <w:szCs w:val="18"/>
        </w:rPr>
        <w:t xml:space="preserve"> </w:t>
      </w:r>
      <w:r w:rsidRPr="008329B8">
        <w:rPr>
          <w:rFonts w:cs="Times New Roman"/>
          <w:color w:val="000000" w:themeColor="text1"/>
          <w:sz w:val="18"/>
          <w:szCs w:val="18"/>
        </w:rPr>
        <w:t>Where, I is supposed to be the identity matrix.</w:t>
      </w:r>
      <w:r>
        <w:rPr>
          <w:rFonts w:cs="Times New Roman"/>
          <w:color w:val="000000" w:themeColor="text1"/>
          <w:sz w:val="18"/>
          <w:szCs w:val="18"/>
        </w:rPr>
        <w:t xml:space="preserve"> </w:t>
      </w:r>
      <w:r w:rsidRPr="008329B8">
        <w:rPr>
          <w:rFonts w:cs="Times New Roman"/>
          <w:color w:val="000000" w:themeColor="text1"/>
          <w:sz w:val="18"/>
          <w:szCs w:val="18"/>
        </w:rPr>
        <w:t>However, in case of GLS regression, we assume that</w:t>
      </w:r>
      <w:r>
        <w:rPr>
          <w:rFonts w:cs="Times New Roman"/>
          <w:color w:val="000000" w:themeColor="text1"/>
          <w:sz w:val="18"/>
          <w:szCs w:val="18"/>
        </w:rPr>
        <w:t xml:space="preserve"> </w:t>
      </w:r>
      <w:r w:rsidRPr="008329B8">
        <w:rPr>
          <w:rFonts w:cs="Times New Roman"/>
          <w:color w:val="000000" w:themeColor="text1"/>
          <w:sz w:val="18"/>
          <w:szCs w:val="18"/>
        </w:rPr>
        <w:t>Var(u)=σ2ΣVar(u)=σ2Σ,</w:t>
      </w:r>
    </w:p>
    <w:p w:rsidR="008329B8" w:rsidRPr="008329B8" w:rsidRDefault="008329B8">
      <w:pPr>
        <w:pStyle w:val="FootnoteText"/>
        <w:rPr>
          <w:lang w:val="en-US"/>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4B1" w:rsidRDefault="002114B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C99" w:rsidRPr="009E0C99" w:rsidRDefault="009E0C99" w:rsidP="009E0C99">
    <w:pPr>
      <w:pBdr>
        <w:bottom w:val="single" w:sz="4" w:space="1" w:color="auto"/>
      </w:pBdr>
      <w:spacing w:line="240" w:lineRule="auto"/>
      <w:jc w:val="right"/>
      <w:rPr>
        <w:rFonts w:cs="Times New Roman"/>
        <w:i/>
        <w:sz w:val="22"/>
        <w:szCs w:val="20"/>
      </w:rPr>
    </w:pPr>
    <w:r w:rsidRPr="009E0C99">
      <w:rPr>
        <w:rFonts w:cs="Times New Roman"/>
        <w:i/>
        <w:sz w:val="22"/>
        <w:szCs w:val="20"/>
      </w:rPr>
      <w:t>Importance Of FDI In Economic Growth And Development: A Study Of Malaysia</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C99" w:rsidRPr="009E0C99" w:rsidRDefault="009E0C99" w:rsidP="009E0C99">
    <w:pPr>
      <w:autoSpaceDE w:val="0"/>
      <w:autoSpaceDN w:val="0"/>
      <w:adjustRightInd w:val="0"/>
      <w:snapToGrid w:val="0"/>
      <w:spacing w:after="0" w:line="240" w:lineRule="auto"/>
      <w:jc w:val="left"/>
      <w:rPr>
        <w:rFonts w:eastAsia="Times New Roman" w:cs="Times New Roman"/>
        <w:bCs/>
        <w:i/>
        <w:szCs w:val="24"/>
        <w:u w:color="000000"/>
        <w:lang w:val="en-US" w:eastAsia="ja-JP"/>
      </w:rPr>
    </w:pPr>
    <w:r w:rsidRPr="009E0C99">
      <w:rPr>
        <w:rFonts w:eastAsia="Times New Roman" w:cs="Times New Roman"/>
        <w:bCs/>
        <w:i/>
        <w:szCs w:val="24"/>
        <w:u w:color="000000"/>
        <w:lang w:val="en-US" w:eastAsia="ja-JP"/>
      </w:rPr>
      <w:t xml:space="preserve">International Journal of Business and Management Invention (IJBMI) </w:t>
    </w:r>
  </w:p>
  <w:p w:rsidR="009E0C99" w:rsidRPr="009E0C99" w:rsidRDefault="009E0C99" w:rsidP="009E0C99">
    <w:pPr>
      <w:shd w:val="clear" w:color="auto" w:fill="FFFFFF"/>
      <w:autoSpaceDE w:val="0"/>
      <w:autoSpaceDN w:val="0"/>
      <w:adjustRightInd w:val="0"/>
      <w:snapToGrid w:val="0"/>
      <w:spacing w:after="0" w:line="240" w:lineRule="auto"/>
      <w:jc w:val="left"/>
      <w:rPr>
        <w:rFonts w:eastAsia="Times New Roman" w:cs="Times New Roman"/>
        <w:bCs/>
        <w:i/>
        <w:szCs w:val="24"/>
        <w:u w:color="000000"/>
        <w:lang w:val="en-US" w:eastAsia="ja-JP"/>
      </w:rPr>
    </w:pPr>
    <w:r w:rsidRPr="009E0C99">
      <w:rPr>
        <w:rFonts w:eastAsia="Times New Roman" w:cs="Times New Roman"/>
        <w:bCs/>
        <w:i/>
        <w:szCs w:val="24"/>
        <w:u w:color="000000"/>
        <w:lang w:val="en-US" w:eastAsia="ja-JP"/>
      </w:rPr>
      <w:t>ISSN (Online): 2319 – 8028, ISSN (Print): 2319 – 801X</w:t>
    </w:r>
  </w:p>
  <w:p w:rsidR="009E0C99" w:rsidRPr="009E0C99" w:rsidRDefault="009E0C99" w:rsidP="009E0C99">
    <w:pPr>
      <w:pBdr>
        <w:bottom w:val="single" w:sz="4" w:space="1" w:color="auto"/>
      </w:pBdr>
      <w:autoSpaceDE w:val="0"/>
      <w:autoSpaceDN w:val="0"/>
      <w:adjustRightInd w:val="0"/>
      <w:snapToGrid w:val="0"/>
      <w:spacing w:after="0" w:line="240" w:lineRule="auto"/>
      <w:jc w:val="left"/>
      <w:rPr>
        <w:rFonts w:eastAsia="Times New Roman" w:cs="Times New Roman"/>
        <w:bCs/>
        <w:szCs w:val="24"/>
        <w:u w:color="000000"/>
        <w:lang w:val="en-US" w:eastAsia="ja-JP"/>
      </w:rPr>
    </w:pPr>
    <w:r w:rsidRPr="009E0C99">
      <w:rPr>
        <w:rFonts w:eastAsia="Times New Roman" w:cs="Times New Roman"/>
        <w:bCs/>
        <w:i/>
        <w:iCs/>
        <w:szCs w:val="24"/>
        <w:u w:color="000000"/>
        <w:lang w:val="en-US" w:eastAsia="ja-JP"/>
      </w:rPr>
      <w:t>www.ijbmi.org || Volume 7 Issue 8 Ver. II</w:t>
    </w:r>
    <w:r w:rsidR="00BE4066">
      <w:rPr>
        <w:rFonts w:eastAsia="Times New Roman" w:cs="Times New Roman"/>
        <w:bCs/>
        <w:i/>
        <w:iCs/>
        <w:szCs w:val="24"/>
        <w:u w:color="000000"/>
        <w:lang w:val="en-US" w:eastAsia="ja-JP"/>
      </w:rPr>
      <w:t>I</w:t>
    </w:r>
    <w:r w:rsidR="002114B1">
      <w:rPr>
        <w:rFonts w:eastAsia="Times New Roman" w:cs="Times New Roman"/>
        <w:bCs/>
        <w:i/>
        <w:iCs/>
        <w:szCs w:val="24"/>
        <w:u w:color="000000"/>
        <w:lang w:val="en-US" w:eastAsia="ja-JP"/>
      </w:rPr>
      <w:t xml:space="preserve"> || Month</w:t>
    </w:r>
    <w:r w:rsidR="00DC3BED">
      <w:rPr>
        <w:rFonts w:eastAsia="Times New Roman" w:cs="Times New Roman"/>
        <w:bCs/>
        <w:i/>
        <w:iCs/>
        <w:szCs w:val="24"/>
        <w:u w:color="000000"/>
        <w:lang w:val="en-US" w:eastAsia="ja-JP"/>
      </w:rPr>
      <w:t>,</w:t>
    </w:r>
    <w:r w:rsidRPr="009E0C99">
      <w:rPr>
        <w:rFonts w:eastAsia="Times New Roman" w:cs="Times New Roman"/>
        <w:bCs/>
        <w:i/>
        <w:iCs/>
        <w:szCs w:val="24"/>
        <w:u w:color="000000"/>
        <w:lang w:val="en-US" w:eastAsia="ja-JP"/>
      </w:rPr>
      <w:t xml:space="preserve"> 20</w:t>
    </w:r>
    <w:r w:rsidR="002114B1">
      <w:rPr>
        <w:rFonts w:eastAsia="Times New Roman" w:cs="Times New Roman"/>
        <w:bCs/>
        <w:i/>
        <w:iCs/>
        <w:szCs w:val="24"/>
        <w:u w:color="000000"/>
        <w:lang w:val="en-US" w:eastAsia="ja-JP"/>
      </w:rPr>
      <w:t>20</w:t>
    </w:r>
    <w:r w:rsidRPr="009E0C99">
      <w:rPr>
        <w:rFonts w:eastAsia="Times New Roman" w:cs="Times New Roman"/>
        <w:bCs/>
        <w:i/>
        <w:iCs/>
        <w:szCs w:val="24"/>
        <w:u w:color="000000"/>
        <w:lang w:val="en-US" w:eastAsia="ja-JP"/>
      </w:rPr>
      <w:t xml:space="preserve"> || PP—</w:t>
    </w:r>
    <w:r w:rsidR="00980C10">
      <w:rPr>
        <w:rFonts w:eastAsia="Times New Roman" w:cs="Times New Roman"/>
        <w:bCs/>
        <w:i/>
        <w:iCs/>
        <w:szCs w:val="24"/>
        <w:u w:color="000000"/>
        <w:lang w:val="en-US" w:eastAsia="ja-JP"/>
      </w:rPr>
      <w:t>01-08</w:t>
    </w:r>
  </w:p>
  <w:p w:rsidR="009E0C99" w:rsidRPr="009E0C99" w:rsidRDefault="009E0C99" w:rsidP="009E0C99">
    <w:pPr>
      <w:tabs>
        <w:tab w:val="center" w:pos="4680"/>
        <w:tab w:val="right" w:pos="9360"/>
      </w:tabs>
      <w:spacing w:after="0" w:line="240" w:lineRule="auto"/>
      <w:jc w:val="left"/>
      <w:rPr>
        <w:rFonts w:eastAsia="Times New Roman" w:cs="Times New Roman"/>
        <w:szCs w:val="24"/>
        <w:u w:color="000000"/>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F4562"/>
    <w:multiLevelType w:val="hybridMultilevel"/>
    <w:tmpl w:val="E368A3AE"/>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
    <w:nsid w:val="1FB922D7"/>
    <w:multiLevelType w:val="multilevel"/>
    <w:tmpl w:val="93A6E6A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843631F"/>
    <w:multiLevelType w:val="hybridMultilevel"/>
    <w:tmpl w:val="E9248E6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301364"/>
    <w:multiLevelType w:val="hybridMultilevel"/>
    <w:tmpl w:val="360863DA"/>
    <w:lvl w:ilvl="0" w:tplc="CE3AFC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990E96"/>
    <w:multiLevelType w:val="multilevel"/>
    <w:tmpl w:val="84BEDB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rsids>
    <w:rsidRoot w:val="008A11F4"/>
    <w:rsid w:val="00004993"/>
    <w:rsid w:val="00006547"/>
    <w:rsid w:val="000130E2"/>
    <w:rsid w:val="000A540A"/>
    <w:rsid w:val="000D1FF1"/>
    <w:rsid w:val="001950ED"/>
    <w:rsid w:val="001E04EA"/>
    <w:rsid w:val="00200749"/>
    <w:rsid w:val="002114B1"/>
    <w:rsid w:val="00215D3B"/>
    <w:rsid w:val="00283C2A"/>
    <w:rsid w:val="00290B62"/>
    <w:rsid w:val="00336294"/>
    <w:rsid w:val="00344830"/>
    <w:rsid w:val="00352C57"/>
    <w:rsid w:val="00356101"/>
    <w:rsid w:val="00365759"/>
    <w:rsid w:val="00367C92"/>
    <w:rsid w:val="00376AFD"/>
    <w:rsid w:val="003C78AE"/>
    <w:rsid w:val="00406AD1"/>
    <w:rsid w:val="00441BC2"/>
    <w:rsid w:val="0045750B"/>
    <w:rsid w:val="004B7F99"/>
    <w:rsid w:val="004C6AD9"/>
    <w:rsid w:val="00512B35"/>
    <w:rsid w:val="005140BA"/>
    <w:rsid w:val="00532E23"/>
    <w:rsid w:val="00542CF3"/>
    <w:rsid w:val="005775A3"/>
    <w:rsid w:val="00577E00"/>
    <w:rsid w:val="00584E4F"/>
    <w:rsid w:val="005A327B"/>
    <w:rsid w:val="005A6208"/>
    <w:rsid w:val="005F7A2E"/>
    <w:rsid w:val="006450F0"/>
    <w:rsid w:val="006C69B8"/>
    <w:rsid w:val="006E1120"/>
    <w:rsid w:val="00711E43"/>
    <w:rsid w:val="007A1ABD"/>
    <w:rsid w:val="008329B8"/>
    <w:rsid w:val="00837D04"/>
    <w:rsid w:val="00851813"/>
    <w:rsid w:val="00855C98"/>
    <w:rsid w:val="00862562"/>
    <w:rsid w:val="0089034B"/>
    <w:rsid w:val="008A11F4"/>
    <w:rsid w:val="008A21D8"/>
    <w:rsid w:val="008B22FF"/>
    <w:rsid w:val="00920228"/>
    <w:rsid w:val="00921AD2"/>
    <w:rsid w:val="009361FD"/>
    <w:rsid w:val="00937600"/>
    <w:rsid w:val="009562F0"/>
    <w:rsid w:val="00980C10"/>
    <w:rsid w:val="0098662E"/>
    <w:rsid w:val="009D3314"/>
    <w:rsid w:val="009D7351"/>
    <w:rsid w:val="009E0C99"/>
    <w:rsid w:val="009E5C5E"/>
    <w:rsid w:val="00A3335A"/>
    <w:rsid w:val="00A361C0"/>
    <w:rsid w:val="00A424C2"/>
    <w:rsid w:val="00AD0FE8"/>
    <w:rsid w:val="00AD6174"/>
    <w:rsid w:val="00AE2539"/>
    <w:rsid w:val="00AE6C02"/>
    <w:rsid w:val="00B0406A"/>
    <w:rsid w:val="00B0516A"/>
    <w:rsid w:val="00B127FE"/>
    <w:rsid w:val="00B743D3"/>
    <w:rsid w:val="00BA1800"/>
    <w:rsid w:val="00BA23A0"/>
    <w:rsid w:val="00BA6059"/>
    <w:rsid w:val="00BB4B4D"/>
    <w:rsid w:val="00BE4066"/>
    <w:rsid w:val="00C52873"/>
    <w:rsid w:val="00C55F62"/>
    <w:rsid w:val="00C70408"/>
    <w:rsid w:val="00CB2EDE"/>
    <w:rsid w:val="00CC54F6"/>
    <w:rsid w:val="00CC61DE"/>
    <w:rsid w:val="00CC6EEB"/>
    <w:rsid w:val="00CF1028"/>
    <w:rsid w:val="00D03926"/>
    <w:rsid w:val="00D04986"/>
    <w:rsid w:val="00D15121"/>
    <w:rsid w:val="00D179B4"/>
    <w:rsid w:val="00D63EA3"/>
    <w:rsid w:val="00D709AC"/>
    <w:rsid w:val="00DA426E"/>
    <w:rsid w:val="00DB6CFA"/>
    <w:rsid w:val="00DC3BED"/>
    <w:rsid w:val="00DC71FC"/>
    <w:rsid w:val="00DE00F8"/>
    <w:rsid w:val="00E41328"/>
    <w:rsid w:val="00E462B2"/>
    <w:rsid w:val="00E538B0"/>
    <w:rsid w:val="00E700F0"/>
    <w:rsid w:val="00E704F5"/>
    <w:rsid w:val="00EB31C4"/>
    <w:rsid w:val="00EC022D"/>
    <w:rsid w:val="00EC2275"/>
    <w:rsid w:val="00EE24C6"/>
    <w:rsid w:val="00EF32B8"/>
    <w:rsid w:val="00F443E3"/>
    <w:rsid w:val="00F553D9"/>
    <w:rsid w:val="00F679E5"/>
    <w:rsid w:val="00F7660C"/>
    <w:rsid w:val="00F817E8"/>
    <w:rsid w:val="00FB326B"/>
    <w:rsid w:val="00FE2C72"/>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4C2"/>
    <w:pPr>
      <w:spacing w:line="360" w:lineRule="auto"/>
      <w:jc w:val="both"/>
    </w:pPr>
    <w:rPr>
      <w:rFonts w:ascii="Times New Roman" w:hAnsi="Times New Roman"/>
      <w:sz w:val="24"/>
    </w:rPr>
  </w:style>
  <w:style w:type="paragraph" w:styleId="Heading1">
    <w:name w:val="heading 1"/>
    <w:basedOn w:val="Normal"/>
    <w:next w:val="Normal"/>
    <w:link w:val="Heading1Char"/>
    <w:uiPriority w:val="9"/>
    <w:qFormat/>
    <w:rsid w:val="004B7F99"/>
    <w:pPr>
      <w:keepNext/>
      <w:keepLines/>
      <w:spacing w:before="480" w:after="0"/>
      <w:jc w:val="left"/>
      <w:outlineLvl w:val="0"/>
    </w:pPr>
    <w:rPr>
      <w:rFonts w:eastAsiaTheme="majorEastAsia" w:cstheme="majorBidi"/>
      <w:b/>
      <w:bCs/>
      <w:szCs w:val="28"/>
    </w:rPr>
  </w:style>
  <w:style w:type="paragraph" w:styleId="Heading2">
    <w:name w:val="heading 2"/>
    <w:basedOn w:val="Normal"/>
    <w:next w:val="Normal"/>
    <w:link w:val="Heading2Char"/>
    <w:uiPriority w:val="9"/>
    <w:semiHidden/>
    <w:unhideWhenUsed/>
    <w:qFormat/>
    <w:rsid w:val="00A424C2"/>
    <w:pPr>
      <w:keepNext/>
      <w:keepLines/>
      <w:spacing w:before="200" w:after="0" w:line="480" w:lineRule="auto"/>
      <w:outlineLvl w:val="1"/>
    </w:pPr>
    <w:rPr>
      <w:rFonts w:asciiTheme="majorHAnsi" w:eastAsiaTheme="majorEastAsia" w:hAnsiTheme="majorHAnsi" w:cstheme="majorBidi"/>
      <w:b/>
      <w:bCs/>
      <w:color w:val="4F81BD"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11F4"/>
    <w:pPr>
      <w:ind w:left="720"/>
      <w:contextualSpacing/>
    </w:pPr>
  </w:style>
  <w:style w:type="character" w:customStyle="1" w:styleId="Heading2Char">
    <w:name w:val="Heading 2 Char"/>
    <w:basedOn w:val="DefaultParagraphFont"/>
    <w:link w:val="Heading2"/>
    <w:uiPriority w:val="9"/>
    <w:semiHidden/>
    <w:rsid w:val="00A424C2"/>
    <w:rPr>
      <w:rFonts w:asciiTheme="majorHAnsi" w:eastAsiaTheme="majorEastAsia" w:hAnsiTheme="majorHAnsi" w:cstheme="majorBidi"/>
      <w:b/>
      <w:bCs/>
      <w:color w:val="4F81BD" w:themeColor="accent1"/>
      <w:sz w:val="26"/>
      <w:szCs w:val="26"/>
      <w:lang w:val="en-US"/>
    </w:rPr>
  </w:style>
  <w:style w:type="paragraph" w:styleId="NormalWeb">
    <w:name w:val="Normal (Web)"/>
    <w:basedOn w:val="Normal"/>
    <w:uiPriority w:val="99"/>
    <w:unhideWhenUsed/>
    <w:rsid w:val="00A424C2"/>
    <w:pPr>
      <w:spacing w:before="100" w:beforeAutospacing="1" w:after="100" w:afterAutospacing="1" w:line="240" w:lineRule="auto"/>
    </w:pPr>
    <w:rPr>
      <w:rFonts w:eastAsia="Times New Roman" w:cs="Times New Roman"/>
      <w:szCs w:val="24"/>
      <w:lang w:val="en-US"/>
    </w:rPr>
  </w:style>
  <w:style w:type="paragraph" w:styleId="BalloonText">
    <w:name w:val="Balloon Text"/>
    <w:basedOn w:val="Normal"/>
    <w:link w:val="BalloonTextChar"/>
    <w:uiPriority w:val="99"/>
    <w:semiHidden/>
    <w:unhideWhenUsed/>
    <w:rsid w:val="00FE2C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2C72"/>
    <w:rPr>
      <w:rFonts w:ascii="Tahoma" w:hAnsi="Tahoma" w:cs="Tahoma"/>
      <w:sz w:val="16"/>
      <w:szCs w:val="16"/>
    </w:rPr>
  </w:style>
  <w:style w:type="table" w:styleId="TableGrid">
    <w:name w:val="Table Grid"/>
    <w:basedOn w:val="TableNormal"/>
    <w:uiPriority w:val="59"/>
    <w:rsid w:val="00FE2C72"/>
    <w:pPr>
      <w:spacing w:after="0" w:line="240" w:lineRule="auto"/>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FE2C72"/>
    <w:pPr>
      <w:spacing w:after="0" w:line="240" w:lineRule="auto"/>
    </w:pPr>
  </w:style>
  <w:style w:type="character" w:customStyle="1" w:styleId="Heading1Char">
    <w:name w:val="Heading 1 Char"/>
    <w:basedOn w:val="DefaultParagraphFont"/>
    <w:link w:val="Heading1"/>
    <w:uiPriority w:val="9"/>
    <w:rsid w:val="004B7F99"/>
    <w:rPr>
      <w:rFonts w:ascii="Times New Roman" w:eastAsiaTheme="majorEastAsia" w:hAnsi="Times New Roman" w:cstheme="majorBidi"/>
      <w:b/>
      <w:bCs/>
      <w:sz w:val="24"/>
      <w:szCs w:val="28"/>
    </w:rPr>
  </w:style>
  <w:style w:type="paragraph" w:styleId="Header">
    <w:name w:val="header"/>
    <w:basedOn w:val="Normal"/>
    <w:link w:val="HeaderChar"/>
    <w:uiPriority w:val="99"/>
    <w:unhideWhenUsed/>
    <w:rsid w:val="009202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0228"/>
    <w:rPr>
      <w:rFonts w:ascii="Times New Roman" w:hAnsi="Times New Roman"/>
      <w:sz w:val="24"/>
    </w:rPr>
  </w:style>
  <w:style w:type="paragraph" w:styleId="Footer">
    <w:name w:val="footer"/>
    <w:basedOn w:val="Normal"/>
    <w:link w:val="FooterChar"/>
    <w:uiPriority w:val="99"/>
    <w:unhideWhenUsed/>
    <w:rsid w:val="009202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0228"/>
    <w:rPr>
      <w:rFonts w:ascii="Times New Roman" w:hAnsi="Times New Roman"/>
      <w:sz w:val="24"/>
    </w:rPr>
  </w:style>
  <w:style w:type="paragraph" w:styleId="FootnoteText">
    <w:name w:val="footnote text"/>
    <w:basedOn w:val="Normal"/>
    <w:link w:val="FootnoteTextChar"/>
    <w:uiPriority w:val="99"/>
    <w:semiHidden/>
    <w:unhideWhenUsed/>
    <w:rsid w:val="008329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29B8"/>
    <w:rPr>
      <w:rFonts w:ascii="Times New Roman" w:hAnsi="Times New Roman"/>
      <w:sz w:val="20"/>
      <w:szCs w:val="20"/>
    </w:rPr>
  </w:style>
  <w:style w:type="character" w:styleId="FootnoteReference">
    <w:name w:val="footnote reference"/>
    <w:basedOn w:val="DefaultParagraphFont"/>
    <w:uiPriority w:val="99"/>
    <w:semiHidden/>
    <w:unhideWhenUsed/>
    <w:rsid w:val="008329B8"/>
    <w:rPr>
      <w:vertAlign w:val="superscript"/>
    </w:rPr>
  </w:style>
  <w:style w:type="character" w:styleId="PlaceholderText">
    <w:name w:val="Placeholder Text"/>
    <w:basedOn w:val="DefaultParagraphFont"/>
    <w:uiPriority w:val="99"/>
    <w:semiHidden/>
    <w:rsid w:val="008329B8"/>
    <w:rPr>
      <w:color w:val="808080"/>
    </w:rPr>
  </w:style>
  <w:style w:type="paragraph" w:styleId="EndnoteText">
    <w:name w:val="endnote text"/>
    <w:basedOn w:val="Normal"/>
    <w:link w:val="EndnoteTextChar"/>
    <w:uiPriority w:val="99"/>
    <w:semiHidden/>
    <w:unhideWhenUsed/>
    <w:rsid w:val="00EF32B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F32B8"/>
    <w:rPr>
      <w:rFonts w:ascii="Times New Roman" w:hAnsi="Times New Roman"/>
      <w:sz w:val="20"/>
      <w:szCs w:val="20"/>
    </w:rPr>
  </w:style>
  <w:style w:type="character" w:styleId="EndnoteReference">
    <w:name w:val="endnote reference"/>
    <w:basedOn w:val="DefaultParagraphFont"/>
    <w:uiPriority w:val="99"/>
    <w:semiHidden/>
    <w:unhideWhenUsed/>
    <w:rsid w:val="00EF32B8"/>
    <w:rPr>
      <w:vertAlign w:val="superscript"/>
    </w:rPr>
  </w:style>
</w:styles>
</file>

<file path=word/webSettings.xml><?xml version="1.0" encoding="utf-8"?>
<w:webSettings xmlns:r="http://schemas.openxmlformats.org/officeDocument/2006/relationships" xmlns:w="http://schemas.openxmlformats.org/wordprocessingml/2006/main">
  <w:divs>
    <w:div w:id="2070376163">
      <w:bodyDiv w:val="1"/>
      <w:marLeft w:val="0"/>
      <w:marRight w:val="0"/>
      <w:marTop w:val="0"/>
      <w:marBottom w:val="0"/>
      <w:divBdr>
        <w:top w:val="none" w:sz="0" w:space="0" w:color="auto"/>
        <w:left w:val="none" w:sz="0" w:space="0" w:color="auto"/>
        <w:bottom w:val="none" w:sz="0" w:space="0" w:color="auto"/>
        <w:right w:val="none" w:sz="0" w:space="0" w:color="auto"/>
      </w:divBdr>
    </w:div>
    <w:div w:id="209709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emiconductor_component" TargetMode="External"/><Relationship Id="rId13" Type="http://schemas.openxmlformats.org/officeDocument/2006/relationships/image" Target="media/image2.e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chart" Target="charts/chart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Information_and_communications_technology"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footer" Target="footer3.xml"/><Relationship Id="rId10" Type="http://schemas.openxmlformats.org/officeDocument/2006/relationships/hyperlink" Target="https://en.wikipedia.org/wiki/Solar_pane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en.wikipedia.org/wiki/Electrical_industry" TargetMode="External"/><Relationship Id="rId14" Type="http://schemas.openxmlformats.org/officeDocument/2006/relationships/image" Target="media/image3.emf"/><Relationship Id="rId22" Type="http://schemas.openxmlformats.org/officeDocument/2006/relationships/header" Target="header3.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minu\Downloads\TsExport7055475%2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IN"/>
            </a:pPr>
            <a:r>
              <a:rPr lang="en-IN"/>
              <a:t>HHI-Index value</a:t>
            </a:r>
          </a:p>
        </c:rich>
      </c:tx>
    </c:title>
    <c:plotArea>
      <c:layout/>
      <c:scatterChart>
        <c:scatterStyle val="smoothMarker"/>
        <c:ser>
          <c:idx val="0"/>
          <c:order val="0"/>
          <c:tx>
            <c:strRef>
              <c:f>calculation!$F$1</c:f>
              <c:strCache>
                <c:ptCount val="1"/>
                <c:pt idx="0">
                  <c:v>HHI-Index value</c:v>
                </c:pt>
              </c:strCache>
            </c:strRef>
          </c:tx>
          <c:marker>
            <c:symbol val="none"/>
          </c:marker>
          <c:xVal>
            <c:numRef>
              <c:f>calculation!$A$2:$A$12</c:f>
              <c:numCache>
                <c:formatCode>General</c:formatCode>
                <c:ptCount val="11"/>
                <c:pt idx="0">
                  <c:v>2005</c:v>
                </c:pt>
                <c:pt idx="1">
                  <c:v>2006</c:v>
                </c:pt>
                <c:pt idx="2">
                  <c:v>2007</c:v>
                </c:pt>
                <c:pt idx="3">
                  <c:v>2008</c:v>
                </c:pt>
                <c:pt idx="4">
                  <c:v>2009</c:v>
                </c:pt>
                <c:pt idx="5">
                  <c:v>2010</c:v>
                </c:pt>
                <c:pt idx="6">
                  <c:v>2011</c:v>
                </c:pt>
                <c:pt idx="7">
                  <c:v>2012</c:v>
                </c:pt>
                <c:pt idx="8">
                  <c:v>2013</c:v>
                </c:pt>
                <c:pt idx="9">
                  <c:v>2014</c:v>
                </c:pt>
                <c:pt idx="10">
                  <c:v>2015</c:v>
                </c:pt>
              </c:numCache>
            </c:numRef>
          </c:xVal>
          <c:yVal>
            <c:numRef>
              <c:f>calculation!$F$2:$F$12</c:f>
              <c:numCache>
                <c:formatCode>General</c:formatCode>
                <c:ptCount val="11"/>
                <c:pt idx="0">
                  <c:v>0.95704000524532962</c:v>
                </c:pt>
                <c:pt idx="1">
                  <c:v>0.92316653266108661</c:v>
                </c:pt>
                <c:pt idx="2">
                  <c:v>0.98089691233972764</c:v>
                </c:pt>
                <c:pt idx="3">
                  <c:v>0.89256104994503027</c:v>
                </c:pt>
                <c:pt idx="4">
                  <c:v>1.0162248710123978</c:v>
                </c:pt>
                <c:pt idx="5">
                  <c:v>0.98029627558416654</c:v>
                </c:pt>
                <c:pt idx="6">
                  <c:v>0.91758877827328533</c:v>
                </c:pt>
                <c:pt idx="7">
                  <c:v>0.88785001912204353</c:v>
                </c:pt>
                <c:pt idx="8">
                  <c:v>0.84973852262066862</c:v>
                </c:pt>
                <c:pt idx="9">
                  <c:v>0.85375255082915669</c:v>
                </c:pt>
                <c:pt idx="10">
                  <c:v>0.93354195220269265</c:v>
                </c:pt>
              </c:numCache>
            </c:numRef>
          </c:yVal>
          <c:smooth val="1"/>
        </c:ser>
        <c:axId val="91718784"/>
        <c:axId val="91720320"/>
      </c:scatterChart>
      <c:valAx>
        <c:axId val="91718784"/>
        <c:scaling>
          <c:orientation val="minMax"/>
        </c:scaling>
        <c:axPos val="b"/>
        <c:numFmt formatCode="General" sourceLinked="1"/>
        <c:tickLblPos val="nextTo"/>
        <c:txPr>
          <a:bodyPr/>
          <a:lstStyle/>
          <a:p>
            <a:pPr>
              <a:defRPr lang="en-IN"/>
            </a:pPr>
            <a:endParaRPr lang="en-US"/>
          </a:p>
        </c:txPr>
        <c:crossAx val="91720320"/>
        <c:crosses val="autoZero"/>
        <c:crossBetween val="midCat"/>
      </c:valAx>
      <c:valAx>
        <c:axId val="91720320"/>
        <c:scaling>
          <c:orientation val="minMax"/>
        </c:scaling>
        <c:axPos val="l"/>
        <c:majorGridlines/>
        <c:numFmt formatCode="General" sourceLinked="1"/>
        <c:tickLblPos val="nextTo"/>
        <c:txPr>
          <a:bodyPr/>
          <a:lstStyle/>
          <a:p>
            <a:pPr>
              <a:defRPr lang="en-IN"/>
            </a:pPr>
            <a:endParaRPr lang="en-US"/>
          </a:p>
        </c:txPr>
        <c:crossAx val="91718784"/>
        <c:crosses val="autoZero"/>
        <c:crossBetween val="midCat"/>
      </c:valAx>
      <c:spPr>
        <a:noFill/>
        <a:ln w="25400">
          <a:noFill/>
        </a:ln>
      </c:spPr>
    </c:plotArea>
    <c:legend>
      <c:legendPos val="r"/>
      <c:txPr>
        <a:bodyPr/>
        <a:lstStyle/>
        <a:p>
          <a:pPr>
            <a:defRPr lang="en-IN"/>
          </a:pPr>
          <a:endParaRPr lang="en-US"/>
        </a:p>
      </c:txPr>
    </c:legend>
    <c:plotVisOnly val="1"/>
  </c:chart>
  <c:txPr>
    <a:bodyPr/>
    <a:lstStyle/>
    <a:p>
      <a:pPr>
        <a:defRPr sz="1000"/>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F896E-A7CC-46EA-90E4-252476D04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8</Pages>
  <Words>3849</Words>
  <Characters>21944</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minu</dc:creator>
  <cp:lastModifiedBy>NEW</cp:lastModifiedBy>
  <cp:revision>58</cp:revision>
  <dcterms:created xsi:type="dcterms:W3CDTF">2018-07-17T09:59:00Z</dcterms:created>
  <dcterms:modified xsi:type="dcterms:W3CDTF">2020-04-03T07:25:00Z</dcterms:modified>
</cp:coreProperties>
</file>